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left="0" w:firstLine="0"/>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89"/>
        <w:ind w:left="0" w:firstLine="0"/>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color w:val="auto"/>
          <w:sz w:val="84"/>
          <w:highlight w:val="none"/>
        </w:rPr>
      </w:pPr>
      <w:r>
        <w:rPr>
          <w:rFonts w:hint="eastAsia" w:ascii="宋体" w:hAnsi="宋体" w:eastAsia="宋体" w:cs="宋体"/>
          <w:b/>
          <w:bCs/>
          <w:color w:val="auto"/>
          <w:sz w:val="84"/>
          <w:highlight w:val="none"/>
        </w:rPr>
        <w:t xml:space="preserve">招 标 文 件</w:t>
      </w:r>
      <w:r/>
    </w:p>
    <w:p>
      <w:pPr>
        <w:pStyle w:val="889"/>
        <w:ind w:left="0" w:firstLine="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89"/>
        <w:ind w:left="0" w:firstLine="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89"/>
        <w:ind w:firstLine="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89"/>
        <w:ind w:firstLine="0"/>
        <w:jc w:val="center"/>
        <w:rPr>
          <w:rFonts w:hint="default"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 xml:space="preserve">项目编号：JSZC-320900-JZCG-G2025-</w:t>
      </w:r>
      <w:r>
        <w:rPr>
          <w:rFonts w:hint="eastAsia" w:ascii="宋体" w:hAnsi="宋体" w:cs="宋体"/>
          <w:b/>
          <w:bCs/>
          <w:color w:val="auto"/>
          <w:sz w:val="30"/>
          <w:szCs w:val="30"/>
          <w:highlight w:val="none"/>
          <w:lang w:val="en-US" w:eastAsia="zh-CN"/>
        </w:rPr>
        <w:t xml:space="preserve">0057</w:t>
      </w:r>
      <w:r/>
    </w:p>
    <w:p>
      <w:pPr>
        <w:pStyle w:val="889"/>
        <w:ind w:left="0" w:firstLine="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89"/>
        <w:ind w:firstLine="0"/>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b/>
          <w:bCs/>
          <w:color w:val="auto"/>
          <w:sz w:val="30"/>
          <w:szCs w:val="30"/>
          <w:highlight w:val="none"/>
          <w:lang w:eastAsia="zh-CN"/>
        </w:rPr>
        <w:t xml:space="preserve">盐城市第一人民医院</w:t>
      </w:r>
      <w:r>
        <w:rPr>
          <w:rFonts w:hint="eastAsia" w:ascii="宋体" w:hAnsi="宋体" w:cs="宋体"/>
          <w:b/>
          <w:bCs/>
          <w:color w:val="auto"/>
          <w:sz w:val="30"/>
          <w:szCs w:val="30"/>
          <w:highlight w:val="none"/>
          <w:lang w:val="en-US" w:eastAsia="zh-CN"/>
        </w:rPr>
        <w:t xml:space="preserve">五官科</w:t>
      </w:r>
      <w:r>
        <w:rPr>
          <w:rFonts w:hint="eastAsia" w:ascii="宋体" w:hAnsi="宋体" w:eastAsia="宋体" w:cs="宋体"/>
          <w:b/>
          <w:bCs/>
          <w:color w:val="auto"/>
          <w:sz w:val="30"/>
          <w:szCs w:val="30"/>
          <w:highlight w:val="none"/>
          <w:lang w:eastAsia="zh-CN"/>
        </w:rPr>
        <w:t xml:space="preserve">医院物业服务项目</w:t>
      </w:r>
      <w:r/>
    </w:p>
    <w:p>
      <w:pPr>
        <w:pStyle w:val="889"/>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89"/>
        <w:ind w:firstLine="0"/>
        <w:spacing w:before="0"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04"/>
        <w:jc w:val="center"/>
        <w:spacing w:before="120" w:beforeAutospacing="0" w:after="120" w:afterAutospacing="0" w:line="400" w:lineRule="exact"/>
        <w:rPr>
          <w:rFonts w:hint="eastAsia" w:ascii="黑体" w:hAnsi="黑体" w:eastAsia="黑体" w:cs="黑体"/>
          <w:bCs/>
          <w:color w:val="auto"/>
          <w:sz w:val="32"/>
          <w:szCs w:val="32"/>
          <w:highlight w:val="none"/>
          <w:lang w:eastAsia="zh-CN"/>
        </w:rPr>
        <w:outlineLvl w:val="0"/>
      </w:pPr>
      <w:r>
        <w:rPr>
          <w:rFonts w:hint="eastAsia" w:ascii="黑体" w:hAnsi="黑体" w:eastAsia="黑体" w:cs="黑体"/>
          <w:bCs/>
          <w:color w:val="auto"/>
          <w:sz w:val="32"/>
          <w:szCs w:val="32"/>
          <w:highlight w:val="none"/>
          <w:lang w:eastAsia="zh-CN"/>
        </w:rPr>
        <w:t xml:space="preserve">盐城市第一人民医院</w:t>
      </w:r>
      <w:r/>
    </w:p>
    <w:p>
      <w:pPr>
        <w:pStyle w:val="804"/>
        <w:jc w:val="center"/>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2025年</w:t>
      </w:r>
      <w:r>
        <w:rPr>
          <w:rFonts w:hint="eastAsia" w:ascii="黑体" w:hAnsi="黑体" w:eastAsia="黑体" w:cs="黑体"/>
          <w:bCs/>
          <w:color w:val="auto"/>
          <w:sz w:val="32"/>
          <w:szCs w:val="32"/>
          <w:highlight w:val="none"/>
          <w:lang w:val="en-US" w:eastAsia="zh-CN"/>
        </w:rPr>
        <w:t xml:space="preserve">11</w:t>
      </w:r>
      <w:r>
        <w:rPr>
          <w:rFonts w:hint="eastAsia" w:ascii="黑体" w:hAnsi="黑体" w:eastAsia="黑体" w:cs="黑体"/>
          <w:bCs/>
          <w:color w:val="auto"/>
          <w:sz w:val="32"/>
          <w:szCs w:val="32"/>
          <w:highlight w:val="none"/>
        </w:rPr>
        <w:t xml:space="preserve">月</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sectPr>
          <w:headerReference w:type="default" r:id="rId9"/>
          <w:headerReference w:type="first" r:id="rId10"/>
          <w:footerReference w:type="even" r:id="rId12"/>
          <w:footnotePr/>
          <w:endnotePr/>
          <w:type w:val="nextPage"/>
          <w:pgSz w:w="11906" w:h="16838" w:orient="portrait"/>
          <w:pgMar w:top="1298" w:right="1196" w:bottom="1208" w:left="1259" w:header="851" w:footer="907" w:gutter="0"/>
          <w:cols w:num="1" w:sep="0" w:space="1701" w:equalWidth="1"/>
          <w:docGrid w:linePitch="360"/>
          <w:titlePg/>
        </w:sectPr>
      </w:pPr>
      <w:r>
        <w:rPr>
          <w:rFonts w:hint="eastAsia" w:ascii="宋体" w:hAnsi="宋体" w:eastAsia="宋体" w:cs="宋体"/>
          <w:b/>
          <w:color w:val="auto"/>
          <w:sz w:val="28"/>
          <w:szCs w:val="28"/>
          <w:highlight w:val="none"/>
        </w:rPr>
      </w:r>
      <w:r/>
    </w:p>
    <w:p>
      <w:pPr>
        <w:numPr>
          <w:ilvl w:val="0"/>
          <w:numId w:val="0"/>
        </w:numPr>
        <w:jc w:val="center"/>
        <w:spacing w:line="560" w:lineRule="exact"/>
        <w:rPr>
          <w:rFonts w:hint="eastAsia"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r>
      <w:r/>
    </w:p>
    <w:p>
      <w:pPr>
        <w:numPr>
          <w:ilvl w:val="0"/>
          <w:numId w:val="0"/>
        </w:numPr>
        <w:jc w:val="center"/>
        <w:spacing w:line="560" w:lineRule="exact"/>
        <w:rPr>
          <w:rFonts w:hint="eastAsia" w:ascii="黑体" w:hAnsi="Showcard Gothic" w:eastAsia="黑体" w:cs="Times New Roman"/>
          <w:color w:val="auto"/>
          <w:sz w:val="40"/>
          <w:szCs w:val="28"/>
          <w:highlight w:val="none"/>
        </w:rPr>
        <w:outlineLvl w:val="0"/>
      </w:pPr>
      <w:r>
        <w:rPr>
          <w:rFonts w:hint="eastAsia" w:ascii="黑体" w:hAnsi="Showcard Gothic" w:eastAsia="黑体" w:cs="Times New Roman"/>
          <w:color w:val="auto"/>
          <w:sz w:val="40"/>
          <w:szCs w:val="28"/>
          <w:highlight w:val="none"/>
        </w:rPr>
        <w:t xml:space="preserve">总  目  录</w:t>
      </w:r>
      <w:r/>
    </w:p>
    <w:p>
      <w:pPr>
        <w:rPr>
          <w:b/>
          <w:color w:val="auto"/>
          <w:sz w:val="28"/>
          <w:highlight w:val="none"/>
        </w:rPr>
      </w:pPr>
      <w:r>
        <w:rPr>
          <w:b/>
          <w:color w:val="auto"/>
          <w:sz w:val="28"/>
          <w:highlight w:val="none"/>
        </w:rPr>
      </w:r>
      <w:r/>
    </w:p>
    <w:p>
      <w:pPr>
        <w:numPr>
          <w:ilvl w:val="0"/>
          <w:numId w:val="0"/>
        </w:numPr>
        <w:jc w:val="center"/>
        <w:spacing w:line="560" w:lineRule="exact"/>
        <w:rPr>
          <w:rFonts w:hint="eastAsia" w:ascii="黑体" w:hAnsi="Showcard Gothic" w:eastAsia="黑体" w:cs="Times New Roman"/>
          <w:color w:val="auto"/>
          <w:sz w:val="36"/>
          <w:highlight w:val="none"/>
          <w:lang w:eastAsia="zh-CN"/>
        </w:rPr>
        <w:outlineLvl w:val="0"/>
      </w:pPr>
      <w:r>
        <w:rPr>
          <w:rFonts w:hint="eastAsia" w:ascii="黑体" w:hAnsi="Showcard Gothic" w:eastAsia="黑体" w:cs="Times New Roman"/>
          <w:color w:val="auto"/>
          <w:sz w:val="36"/>
          <w:highlight w:val="none"/>
          <w:lang w:val="en-US" w:eastAsia="zh-CN"/>
        </w:rPr>
        <w:t xml:space="preserve">第一章</w:t>
      </w:r>
      <w:r>
        <w:rPr>
          <w:rFonts w:hint="eastAsia" w:ascii="黑体" w:hAnsi="Showcard Gothic" w:eastAsia="黑体" w:cs="Times New Roman"/>
          <w:color w:val="auto"/>
          <w:sz w:val="36"/>
          <w:highlight w:val="none"/>
        </w:rPr>
        <w:t xml:space="preserve"> </w:t>
      </w:r>
      <w:r>
        <w:rPr>
          <w:rFonts w:hint="eastAsia" w:ascii="黑体" w:hAnsi="Showcard Gothic" w:eastAsia="黑体" w:cs="Times New Roman"/>
          <w:color w:val="auto"/>
          <w:sz w:val="36"/>
          <w:highlight w:val="none"/>
          <w:lang w:val="en-US" w:eastAsia="zh-CN"/>
        </w:rPr>
        <w:t xml:space="preserve"> </w:t>
      </w:r>
      <w:r>
        <w:rPr>
          <w:rFonts w:hint="eastAsia" w:ascii="黑体" w:hAnsi="Showcard Gothic" w:eastAsia="黑体" w:cs="Times New Roman"/>
          <w:color w:val="auto"/>
          <w:sz w:val="36"/>
          <w:highlight w:val="none"/>
        </w:rPr>
        <w:t xml:space="preserve">招标公告………………………………</w:t>
      </w:r>
      <w:r>
        <w:rPr>
          <w:rFonts w:hint="eastAsia" w:ascii="黑体" w:hAnsi="Showcard Gothic" w:eastAsia="黑体" w:cs="Times New Roman"/>
          <w:color w:val="auto"/>
          <w:sz w:val="36"/>
          <w:highlight w:val="none"/>
          <w:lang w:val="en-US" w:eastAsia="zh-CN"/>
        </w:rPr>
        <w:t xml:space="preserve">2</w:t>
      </w:r>
      <w:r/>
    </w:p>
    <w:p>
      <w:pPr>
        <w:numPr>
          <w:ilvl w:val="0"/>
          <w:numId w:val="0"/>
        </w:numPr>
        <w:jc w:val="center"/>
        <w:spacing w:line="560" w:lineRule="exact"/>
        <w:rPr>
          <w:rFonts w:hint="eastAsia"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lang w:val="en-US" w:eastAsia="zh-CN"/>
        </w:rPr>
        <w:t xml:space="preserve">第二章</w:t>
      </w:r>
      <w:r>
        <w:rPr>
          <w:rFonts w:hint="eastAsia" w:ascii="黑体" w:hAnsi="Showcard Gothic" w:eastAsia="黑体" w:cs="Times New Roman"/>
          <w:color w:val="auto"/>
          <w:sz w:val="36"/>
          <w:highlight w:val="none"/>
        </w:rPr>
        <w:t xml:space="preserve"> </w:t>
      </w:r>
      <w:r>
        <w:rPr>
          <w:rFonts w:hint="eastAsia" w:ascii="黑体" w:hAnsi="Showcard Gothic" w:eastAsia="黑体" w:cs="Times New Roman"/>
          <w:color w:val="auto"/>
          <w:sz w:val="36"/>
          <w:highlight w:val="none"/>
          <w:lang w:val="en-US" w:eastAsia="zh-CN"/>
        </w:rPr>
        <w:t xml:space="preserve"> </w:t>
      </w:r>
      <w:r>
        <w:rPr>
          <w:rFonts w:hint="eastAsia" w:ascii="黑体" w:hAnsi="Showcard Gothic" w:eastAsia="黑体" w:cs="Times New Roman"/>
          <w:color w:val="auto"/>
          <w:sz w:val="36"/>
          <w:highlight w:val="none"/>
        </w:rPr>
        <w:t xml:space="preserve">投标人须知……………………………5</w:t>
      </w:r>
      <w:r/>
    </w:p>
    <w:p>
      <w:pPr>
        <w:numPr>
          <w:ilvl w:val="0"/>
          <w:numId w:val="0"/>
        </w:numPr>
        <w:jc w:val="center"/>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lang w:val="en-US" w:eastAsia="zh-CN"/>
        </w:rPr>
        <w:t xml:space="preserve"> 第三章  </w:t>
      </w:r>
      <w:r>
        <w:rPr>
          <w:rFonts w:hint="eastAsia" w:ascii="黑体" w:hAnsi="Showcard Gothic" w:eastAsia="黑体" w:cs="Times New Roman"/>
          <w:color w:val="auto"/>
          <w:sz w:val="36"/>
          <w:highlight w:val="none"/>
        </w:rPr>
        <w:t xml:space="preserve">合同文本………………………………2</w:t>
      </w:r>
      <w:r>
        <w:rPr>
          <w:rFonts w:hint="eastAsia" w:ascii="黑体" w:hAnsi="Showcard Gothic" w:eastAsia="黑体" w:cs="Times New Roman"/>
          <w:color w:val="auto"/>
          <w:sz w:val="36"/>
          <w:highlight w:val="none"/>
          <w:lang w:val="en-US" w:eastAsia="zh-CN"/>
        </w:rPr>
        <w:t xml:space="preserve">3</w:t>
      </w:r>
      <w:r/>
    </w:p>
    <w:p>
      <w:pPr>
        <w:jc w:val="center"/>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lang w:val="en-US" w:eastAsia="zh-CN"/>
        </w:rPr>
        <w:t xml:space="preserve"> </w:t>
      </w:r>
      <w:r>
        <w:rPr>
          <w:rFonts w:hint="eastAsia" w:ascii="黑体" w:hAnsi="Showcard Gothic" w:eastAsia="黑体" w:cs="Times New Roman"/>
          <w:color w:val="auto"/>
          <w:sz w:val="36"/>
          <w:highlight w:val="none"/>
        </w:rPr>
        <w:t xml:space="preserve">第四章  采购需求………………………………</w:t>
      </w:r>
      <w:r>
        <w:rPr>
          <w:rFonts w:hint="eastAsia" w:ascii="黑体" w:hAnsi="Showcard Gothic" w:eastAsia="黑体" w:cs="Times New Roman"/>
          <w:color w:val="auto"/>
          <w:sz w:val="36"/>
          <w:highlight w:val="none"/>
          <w:lang w:val="en-US" w:eastAsia="zh-CN"/>
        </w:rPr>
        <w:t xml:space="preserve">43</w:t>
      </w:r>
      <w:r/>
    </w:p>
    <w:p>
      <w:pPr>
        <w:jc w:val="center"/>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lang w:val="en-US" w:eastAsia="zh-CN"/>
        </w:rPr>
        <w:t xml:space="preserve"> </w:t>
      </w:r>
      <w:r>
        <w:rPr>
          <w:rFonts w:hint="eastAsia" w:ascii="黑体" w:hAnsi="Showcard Gothic" w:eastAsia="黑体" w:cs="Times New Roman"/>
          <w:color w:val="auto"/>
          <w:sz w:val="36"/>
          <w:highlight w:val="none"/>
        </w:rPr>
        <w:t xml:space="preserve">第五章  评标方法与评标标准…………………</w:t>
      </w:r>
      <w:r>
        <w:rPr>
          <w:rFonts w:hint="eastAsia" w:ascii="黑体" w:hAnsi="Showcard Gothic" w:eastAsia="黑体" w:cs="Times New Roman"/>
          <w:color w:val="auto"/>
          <w:sz w:val="36"/>
          <w:highlight w:val="none"/>
          <w:lang w:val="en-US" w:eastAsia="zh-CN"/>
        </w:rPr>
        <w:t xml:space="preserve">75</w:t>
      </w:r>
      <w:r/>
    </w:p>
    <w:p>
      <w:pPr>
        <w:jc w:val="center"/>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lang w:val="en-US" w:eastAsia="zh-CN"/>
        </w:rPr>
        <w:t xml:space="preserve"> </w:t>
      </w:r>
      <w:r>
        <w:rPr>
          <w:rFonts w:hint="eastAsia" w:ascii="黑体" w:hAnsi="Showcard Gothic" w:eastAsia="黑体" w:cs="Times New Roman"/>
          <w:color w:val="auto"/>
          <w:sz w:val="36"/>
          <w:highlight w:val="none"/>
        </w:rPr>
        <w:t xml:space="preserve">第六章  投标文件格式…………………………</w:t>
      </w:r>
      <w:r>
        <w:rPr>
          <w:rFonts w:hint="eastAsia" w:ascii="黑体" w:hAnsi="Showcard Gothic" w:eastAsia="黑体" w:cs="Times New Roman"/>
          <w:color w:val="auto"/>
          <w:sz w:val="36"/>
          <w:highlight w:val="none"/>
          <w:lang w:val="en-US" w:eastAsia="zh-CN"/>
        </w:rPr>
        <w:t xml:space="preserve">81</w:t>
      </w:r>
      <w:r/>
    </w:p>
    <w:p>
      <w:pPr>
        <w:pStyle w:val="997"/>
        <w:jc w:val="both"/>
        <w:spacing w:beforeAutospacing="0" w:afterAutospacing="0"/>
        <w:rPr>
          <w:rFonts w:hint="eastAsia" w:ascii="宋体" w:hAnsi="宋体" w:eastAsia="宋体" w:cs="宋体"/>
          <w:color w:val="auto"/>
          <w:sz w:val="24"/>
          <w:szCs w:val="44"/>
          <w:highlight w:val="none"/>
          <w:lang w:val="en-US" w:eastAsia="zh-CN" w:bidi="ar-SA"/>
        </w:rPr>
        <w:outlineLvl w:val="9"/>
      </w:pPr>
      <w:r>
        <w:rPr>
          <w:rFonts w:hint="eastAsia" w:ascii="宋体" w:hAnsi="宋体" w:eastAsia="宋体" w:cs="宋体"/>
          <w:color w:val="auto"/>
          <w:sz w:val="24"/>
          <w:szCs w:val="44"/>
          <w:highlight w:val="none"/>
          <w:lang w:val="en-US" w:eastAsia="zh-CN" w:bidi="ar-SA"/>
        </w:rPr>
      </w:r>
      <w:r/>
    </w:p>
    <w:p>
      <w:pPr>
        <w:pStyle w:val="997"/>
        <w:jc w:val="both"/>
        <w:spacing w:beforeAutospacing="0" w:afterAutospacing="0"/>
        <w:rPr>
          <w:rFonts w:hint="eastAsia" w:ascii="宋体" w:hAnsi="宋体" w:eastAsia="宋体" w:cs="宋体"/>
          <w:color w:val="auto"/>
          <w:sz w:val="24"/>
          <w:szCs w:val="44"/>
          <w:highlight w:val="none"/>
          <w:lang w:val="en-US" w:eastAsia="zh-CN" w:bidi="ar-SA"/>
        </w:rPr>
        <w:sectPr>
          <w:footerReference w:type="default" r:id="rId13"/>
          <w:footnotePr/>
          <w:endnotePr/>
          <w:type w:val="nextPage"/>
          <w:pgSz w:w="11906" w:h="16838" w:orient="portrait"/>
          <w:pgMar w:top="1440" w:right="1633" w:bottom="1440" w:left="1633" w:header="851" w:footer="992" w:gutter="0"/>
          <w:pgNumType w:start="1"/>
          <w:cols w:num="1" w:sep="0" w:space="425" w:equalWidth="1"/>
          <w:docGrid w:linePitch="360"/>
        </w:sectPr>
        <w:outlineLvl w:val="9"/>
      </w:pPr>
      <w:r>
        <w:rPr>
          <w:rFonts w:hint="eastAsia" w:ascii="宋体" w:hAnsi="宋体" w:eastAsia="宋体" w:cs="宋体"/>
          <w:color w:val="auto"/>
          <w:sz w:val="24"/>
          <w:szCs w:val="44"/>
          <w:highlight w:val="none"/>
          <w:lang w:val="en-US" w:eastAsia="zh-CN" w:bidi="ar-SA"/>
        </w:rPr>
      </w:r>
      <w:r/>
    </w:p>
    <w:p>
      <w:pPr>
        <w:pStyle w:val="997"/>
        <w:jc w:val="center"/>
        <w:spacing w:beforeAutospacing="0" w:afterAutospacing="0"/>
        <w:rPr>
          <w:rFonts w:hint="eastAsia" w:ascii="黑体" w:hAnsi="黑体" w:eastAsia="黑体" w:cs="黑体"/>
          <w:color w:val="auto"/>
          <w:sz w:val="44"/>
          <w:szCs w:val="20"/>
          <w:highlight w:val="none"/>
          <w:lang w:val="en-US" w:eastAsia="zh-CN" w:bidi="ar-SA"/>
        </w:rPr>
        <w:outlineLvl w:val="0"/>
      </w:pPr>
      <w:r/>
      <w:bookmarkStart w:id="0" w:name="_Toc1413"/>
      <w:r>
        <w:rPr>
          <w:rFonts w:hint="eastAsia" w:ascii="黑体" w:hAnsi="黑体" w:eastAsia="黑体" w:cs="黑体"/>
          <w:color w:val="auto"/>
          <w:sz w:val="44"/>
          <w:szCs w:val="20"/>
          <w:highlight w:val="none"/>
          <w:lang w:val="en-US" w:eastAsia="zh-CN" w:bidi="ar-SA"/>
        </w:rPr>
        <w:t xml:space="preserve">第一章 招标公告</w:t>
      </w:r>
      <w:bookmarkEnd w:id="0"/>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4"/>
          <w:highlight w:val="none"/>
          <w:lang w:eastAsia="zh-CN"/>
        </w:rPr>
        <w:t xml:space="preserve">项目概况</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4"/>
          <w:highlight w:val="none"/>
          <w:lang w:eastAsia="zh-CN"/>
        </w:rPr>
        <w:t xml:space="preserve">盐城市第一人民医院</w:t>
      </w:r>
      <w:r>
        <w:rPr>
          <w:rFonts w:hint="eastAsia" w:ascii="宋体" w:hAnsi="宋体" w:eastAsia="宋体" w:cs="宋体"/>
          <w:color w:val="auto"/>
          <w:sz w:val="24"/>
          <w:szCs w:val="24"/>
          <w:highlight w:val="none"/>
          <w:lang w:val="en-US" w:eastAsia="zh-CN"/>
        </w:rPr>
        <w:t xml:space="preserve">五官科</w:t>
      </w:r>
      <w:r>
        <w:rPr>
          <w:rFonts w:hint="eastAsia" w:ascii="宋体" w:hAnsi="宋体" w:eastAsia="宋体" w:cs="宋体"/>
          <w:color w:val="auto"/>
          <w:sz w:val="24"/>
          <w:szCs w:val="24"/>
          <w:highlight w:val="none"/>
          <w:lang w:eastAsia="zh-CN"/>
        </w:rPr>
        <w:t xml:space="preserve">医院物业服务项目</w:t>
      </w:r>
      <w:r>
        <w:rPr>
          <w:rFonts w:hint="eastAsia" w:ascii="宋体" w:hAnsi="宋体" w:eastAsia="宋体" w:cs="宋体"/>
          <w:color w:val="auto"/>
          <w:sz w:val="24"/>
          <w:szCs w:val="20"/>
          <w:highlight w:val="none"/>
          <w:lang w:eastAsia="zh-CN"/>
        </w:rPr>
        <w:t xml:space="preserve">JSZC-320900-JZCG-G2025-00</w:t>
      </w:r>
      <w:r>
        <w:rPr>
          <w:rFonts w:hint="eastAsia" w:ascii="宋体" w:hAnsi="宋体" w:eastAsia="宋体" w:cs="宋体"/>
          <w:color w:val="auto"/>
          <w:sz w:val="24"/>
          <w:szCs w:val="20"/>
          <w:highlight w:val="none"/>
          <w:lang w:val="en-US" w:eastAsia="zh-CN"/>
        </w:rPr>
        <w:t xml:space="preserve">57</w:t>
      </w:r>
      <w:r>
        <w:rPr>
          <w:rFonts w:hint="eastAsia" w:ascii="宋体" w:hAnsi="宋体" w:eastAsia="宋体" w:cs="宋体"/>
          <w:color w:val="auto"/>
          <w:sz w:val="24"/>
          <w:szCs w:val="24"/>
          <w:highlight w:val="none"/>
          <w:lang w:eastAsia="zh-CN"/>
        </w:rPr>
        <w:t xml:space="preserve">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在“苏采云”系统内免费下载（投标人必须在苏采云系统中获取采购文件，方能参与政府采购项目），并于2025年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月12日9点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0分（北京时间）前递交投标文件。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jc w:val="left"/>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1.项目编号：JSZC-320900-JZCG-G2025-</w:t>
      </w:r>
      <w:r>
        <w:rPr>
          <w:rFonts w:hint="eastAsia" w:ascii="宋体" w:hAnsi="宋体" w:eastAsia="宋体" w:cs="宋体"/>
          <w:color w:val="auto"/>
          <w:sz w:val="24"/>
          <w:szCs w:val="24"/>
          <w:highlight w:val="none"/>
          <w:lang w:val="en-US" w:eastAsia="zh-CN"/>
        </w:rPr>
        <w:t xml:space="preserve">0057</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盐城市第一人民医院</w:t>
      </w:r>
      <w:r>
        <w:rPr>
          <w:rFonts w:hint="eastAsia" w:ascii="宋体" w:hAnsi="宋体" w:eastAsia="宋体" w:cs="宋体"/>
          <w:color w:val="auto"/>
          <w:sz w:val="24"/>
          <w:szCs w:val="24"/>
          <w:highlight w:val="none"/>
          <w:lang w:val="en-US" w:eastAsia="zh-CN"/>
        </w:rPr>
        <w:t xml:space="preserve">五官科</w:t>
      </w:r>
      <w:r>
        <w:rPr>
          <w:rFonts w:hint="eastAsia" w:ascii="宋体" w:hAnsi="宋体" w:eastAsia="宋体" w:cs="宋体"/>
          <w:color w:val="auto"/>
          <w:sz w:val="24"/>
          <w:szCs w:val="24"/>
          <w:highlight w:val="none"/>
          <w:lang w:eastAsia="zh-CN"/>
        </w:rPr>
        <w:t xml:space="preserve">医院物业服务项目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3.采购方式：公开招标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4.预算金额：</w:t>
      </w:r>
      <w:r>
        <w:rPr>
          <w:rFonts w:hint="eastAsia" w:ascii="宋体" w:hAnsi="宋体" w:eastAsia="宋体" w:cs="宋体"/>
          <w:color w:val="auto"/>
          <w:sz w:val="24"/>
          <w:szCs w:val="24"/>
          <w:highlight w:val="none"/>
          <w:lang w:val="en-US" w:eastAsia="zh-CN"/>
        </w:rPr>
        <w:t xml:space="preserve">336</w:t>
      </w:r>
      <w:r>
        <w:rPr>
          <w:rFonts w:hint="eastAsia" w:ascii="宋体" w:hAnsi="宋体" w:eastAsia="宋体" w:cs="宋体"/>
          <w:color w:val="auto"/>
          <w:sz w:val="24"/>
          <w:szCs w:val="24"/>
          <w:highlight w:val="none"/>
          <w:lang w:eastAsia="zh-CN"/>
        </w:rPr>
        <w:t xml:space="preserve">万元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5.最高限价：</w:t>
      </w:r>
      <w:r>
        <w:rPr>
          <w:rFonts w:hint="eastAsia" w:ascii="宋体" w:hAnsi="宋体" w:eastAsia="宋体" w:cs="宋体"/>
          <w:color w:val="auto"/>
          <w:sz w:val="24"/>
          <w:szCs w:val="24"/>
          <w:highlight w:val="none"/>
          <w:lang w:val="en-US" w:eastAsia="zh-CN"/>
        </w:rPr>
        <w:t xml:space="preserve">336</w:t>
      </w:r>
      <w:r>
        <w:rPr>
          <w:rFonts w:hint="eastAsia" w:ascii="宋体" w:hAnsi="宋体" w:eastAsia="宋体" w:cs="宋体"/>
          <w:color w:val="auto"/>
          <w:sz w:val="24"/>
          <w:szCs w:val="24"/>
          <w:highlight w:val="none"/>
          <w:lang w:eastAsia="zh-CN"/>
        </w:rPr>
        <w:t xml:space="preserve">万元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6.采购需求（简介）：盐城市第一人民医院</w:t>
      </w:r>
      <w:r>
        <w:rPr>
          <w:rFonts w:hint="eastAsia" w:ascii="宋体" w:hAnsi="宋体" w:eastAsia="宋体" w:cs="宋体"/>
          <w:color w:val="auto"/>
          <w:sz w:val="24"/>
          <w:szCs w:val="24"/>
          <w:highlight w:val="none"/>
          <w:lang w:val="en-US" w:eastAsia="zh-CN"/>
        </w:rPr>
        <w:t xml:space="preserve">五官科</w:t>
      </w:r>
      <w:r>
        <w:rPr>
          <w:rFonts w:hint="eastAsia" w:ascii="宋体" w:hAnsi="宋体" w:eastAsia="宋体" w:cs="宋体"/>
          <w:color w:val="auto"/>
          <w:sz w:val="24"/>
          <w:szCs w:val="24"/>
          <w:highlight w:val="none"/>
        </w:rPr>
        <w:t xml:space="preserve">医院</w:t>
      </w:r>
      <w:r>
        <w:rPr>
          <w:rFonts w:hint="eastAsia" w:ascii="宋体" w:hAnsi="宋体" w:eastAsia="宋体" w:cs="宋体"/>
          <w:color w:val="auto"/>
          <w:sz w:val="24"/>
          <w:szCs w:val="24"/>
          <w:highlight w:val="none"/>
          <w:lang w:val="en-US" w:eastAsia="zh-CN"/>
        </w:rPr>
        <w:t xml:space="preserve">物业服务，主要</w:t>
      </w:r>
      <w:r>
        <w:rPr>
          <w:rFonts w:hint="eastAsia" w:ascii="宋体" w:hAnsi="宋体" w:eastAsia="宋体" w:cs="宋体"/>
          <w:color w:val="auto"/>
          <w:sz w:val="24"/>
          <w:szCs w:val="24"/>
          <w:highlight w:val="none"/>
        </w:rPr>
        <w:t xml:space="preserve">包含室内外保洁服务、陪检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配送、医技工勤、后勤技术工种（水电维修、消毒员、导医等）、收费员等业务及保洁工具、耗材采购等及招标文件规定的其他协助工作。（详细内容见本招标文件第四章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7.合同履行期限：一年。</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8.本项目（是/否）接受联合体投标：否。</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1.3具备履行合同所必需的设备和专业技术能力的书面声明。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1.8单位负责人为同一人或者存在直接控股、管理关系的不同供应商，不得参加同一合同项下的政府采购活动。（投标文件中需提供</w:t>
      </w:r>
      <w:r>
        <w:rPr>
          <w:rFonts w:hint="eastAsia" w:ascii="宋体" w:hAnsi="宋体" w:eastAsia="宋体" w:cs="宋体"/>
          <w:color w:val="auto"/>
          <w:sz w:val="24"/>
          <w:szCs w:val="24"/>
          <w:highlight w:val="none"/>
          <w:lang w:eastAsia="zh-CN"/>
        </w:rPr>
        <w:t xml:space="preserve">声明</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本项目专门面向中小企业采购。采购标的的所属行业为物业管理</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，投标人需按照采购文件的要求提供相应的《中小企业声明函》。企业标准请参照《关于印发中小企业划型标准规定的通知》（工信部联企业</w:t>
      </w:r>
      <w:r>
        <w:rPr>
          <w:rFonts w:hint="eastAsia" w:ascii="宋体" w:hAnsi="宋体" w:eastAsia="宋体" w:cs="宋体"/>
          <w:b/>
          <w:bCs/>
          <w:color w:val="auto"/>
          <w:sz w:val="24"/>
          <w:szCs w:val="24"/>
          <w:highlight w:val="none"/>
          <w:lang w:eastAsia="zh-CN"/>
        </w:rPr>
        <w:t xml:space="preserve">〔2011〕300号</w:t>
      </w:r>
      <w:r>
        <w:rPr>
          <w:rFonts w:hint="eastAsia" w:ascii="宋体" w:hAnsi="宋体" w:eastAsia="宋体" w:cs="宋体"/>
          <w:b/>
          <w:bCs/>
          <w:color w:val="auto"/>
          <w:sz w:val="24"/>
          <w:szCs w:val="24"/>
          <w:highlight w:val="none"/>
        </w:rPr>
        <w:t xml:space="preserve">）文件规定自行填写。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本项目的特定资格要求：无。</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1.时间：自招标文件公告发布之日起5个工作日。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2.地点：“苏采云”系统内免费下载（供应商必须在苏采云系统中获取采购文件，方能参与政府采购项目）。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3.方式：本项目采用网上注册登记方式。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4.售价：0元。</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1.时间：2025年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月12日9点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《苏采云系统供应商操作手册》：在盐城市政府采购网点击【办事指南】-【供应商参与政府采购活动相关资料】。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2.潜在供应商访问电子招标响应交易平台的网络地址和方法：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2.2潜在供应商访问“苏采云”系统方法：江苏省政府采购网首页-“苏采云”链接。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2.3采购文件（后缀名为“.kedt”）、供应商操作手册及政府采购客户端工具可通过“苏采云”系统相应链接进行下载。</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2.4采购代理机构将数据电文形式的采购文件加载至“苏采云”系统，供潜在供应商下载或者查阅。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如潜在供应商未按上述要求操作，将自行承担所产生的风险。</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3.有关本次招标的事项若存在变动或修改，敬请及时关注盐城市政府采购中心在“中国政府采购网”、“江苏政府采购网”、“盐城市政府采购网”发布的更正公告。</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4.本次招标不收取投标保证金，不收取质量保证金。</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1.采购人信息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lang w:eastAsia="zh-CN"/>
        </w:rPr>
        <w:t xml:space="preserve">盐城市第一人民医院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址：盐城市</w:t>
      </w:r>
      <w:r>
        <w:rPr>
          <w:rFonts w:hint="eastAsia" w:ascii="宋体" w:hAnsi="宋体" w:eastAsia="宋体" w:cs="宋体"/>
          <w:color w:val="auto"/>
          <w:sz w:val="24"/>
          <w:szCs w:val="24"/>
          <w:highlight w:val="none"/>
          <w:lang w:val="en-US" w:eastAsia="zh-CN"/>
        </w:rPr>
        <w:t xml:space="preserve">人民南路66号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何老师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联系电话：0515-66696855</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2.采购代理机构信息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称：盐城市政府采购中心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址：盐城市府西路1号市公共资源交易中心5楼</w:t>
      </w:r>
      <w:r/>
    </w:p>
    <w:p>
      <w:pPr>
        <w:ind w:firstLine="480"/>
        <w:jc w:val="left"/>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顾女士</w:t>
      </w:r>
      <w:r/>
    </w:p>
    <w:p>
      <w:pPr>
        <w:ind w:firstLine="480"/>
        <w:jc w:val="left"/>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联系方式：0515-</w:t>
      </w:r>
      <w:r>
        <w:rPr>
          <w:rFonts w:hint="eastAsia" w:ascii="宋体" w:hAnsi="宋体" w:eastAsia="宋体" w:cs="宋体"/>
          <w:color w:val="auto"/>
          <w:sz w:val="24"/>
          <w:szCs w:val="24"/>
          <w:highlight w:val="none"/>
          <w:lang w:val="en-US" w:eastAsia="zh-CN"/>
        </w:rPr>
        <w:t xml:space="preserve">86665072</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3.项目联系方式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顾女士</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话：0515-</w:t>
      </w:r>
      <w:r>
        <w:rPr>
          <w:rFonts w:hint="eastAsia" w:ascii="宋体" w:hAnsi="宋体" w:eastAsia="宋体" w:cs="宋体"/>
          <w:color w:val="auto"/>
          <w:sz w:val="24"/>
          <w:szCs w:val="24"/>
          <w:highlight w:val="none"/>
          <w:lang w:val="en-US" w:eastAsia="zh-CN"/>
        </w:rPr>
        <w:t xml:space="preserve">86665072</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997"/>
        <w:jc w:val="center"/>
        <w:spacing w:beforeAutospacing="0" w:afterAutospacing="0"/>
        <w:rPr>
          <w:rFonts w:hint="eastAsia" w:ascii="黑体" w:hAnsi="黑体" w:eastAsia="黑体" w:cs="黑体"/>
          <w:color w:val="auto"/>
          <w:sz w:val="44"/>
          <w:szCs w:val="44"/>
          <w:highlight w:val="none"/>
        </w:rPr>
        <w:outlineLvl w:val="0"/>
      </w:pPr>
      <w:r/>
      <w:bookmarkStart w:id="1" w:name="_Toc23635"/>
      <w:r>
        <w:rPr>
          <w:rFonts w:hint="eastAsia" w:ascii="黑体" w:hAnsi="黑体" w:eastAsia="黑体" w:cs="黑体"/>
          <w:color w:val="auto"/>
          <w:sz w:val="44"/>
          <w:szCs w:val="44"/>
          <w:highlight w:val="none"/>
        </w:rPr>
        <w:t xml:space="preserve">第二章</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投标人须知</w:t>
      </w:r>
      <w:bookmarkEnd w:id="1"/>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1、招标方式</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2、合格的投标人</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3、适用法律</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4、投标费用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5、招标文件的约束力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6、招标文件构成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7、招标文件的澄清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8、招标文件的修改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8.3招标文件的修改将在“中国政府采购网”、“江苏政府采购网”、“盐城市政府采购网”公布，补充文件将作为招标文件的组成部分，并对供应商具有约束力。</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9、投标文件的语言及度量衡单位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10、投标文件构成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11、证明投标人及投标标的符合招标文件规定的文件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分项报价表，不仅应包括所有人员的工资、法定节假日加班费、社保、公积金、福利费，还应包括：管理、劳务、培训、风险、税金、合理利润及政策性文件规定等各项应有费用，以及为完成招标文件规定的物业</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服务工作所涉及到的一切相关费用。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（1）用于保洁的日常易耗品、工具等物品由投标人购置并承担费用。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（2）所有人员的通讯、工作服装（分不同季节）由投标人购置并承担费用，安检器械等由采购人购置并承担费用。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（3）各投标人根据采购人提供的服务内容、招标文件及答疑文件等资料要求，并根据市场行情、结合自身公司实力、管理水平等因素，按要求进行报价。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（4）各投标人自行根据招标人提供的服务内容、招标文件及答疑文件等资料要求，并根据市场行情、结合自身公司实力、管理水平等因素，按要求进行报价。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（5）服务人员须服从采购人管理，采购人安排的短期加班或活动不另行增加费用。</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12.4（</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zh-CN"/>
        </w:rPr>
        <w:t xml:space="preserve">）所有人员工资不低于本市最低工资标准2260元/人/每月，所有人员必须足额缴纳社保费用，社保（企业部分）不得低于</w:t>
      </w:r>
      <w:r>
        <w:rPr>
          <w:rFonts w:hint="eastAsia" w:ascii="宋体" w:hAnsi="宋体" w:cs="宋体"/>
          <w:b/>
          <w:bCs/>
          <w:color w:val="auto"/>
          <w:sz w:val="24"/>
          <w:szCs w:val="24"/>
          <w:highlight w:val="none"/>
          <w:lang w:val="en-US" w:eastAsia="zh-CN"/>
        </w:rPr>
        <w:t xml:space="preserve">1292.47</w:t>
      </w:r>
      <w:r>
        <w:rPr>
          <w:rFonts w:hint="eastAsia" w:ascii="宋体" w:hAnsi="宋体" w:eastAsia="宋体" w:cs="宋体"/>
          <w:b/>
          <w:bCs/>
          <w:color w:val="auto"/>
          <w:sz w:val="24"/>
          <w:szCs w:val="24"/>
          <w:highlight w:val="none"/>
          <w:lang w:val="zh-CN"/>
        </w:rPr>
        <w:t xml:space="preserve">元/人/每月，住房公积金不得低于</w:t>
      </w:r>
      <w:r>
        <w:rPr>
          <w:rFonts w:hint="default" w:ascii="宋体" w:hAnsi="宋体" w:cs="宋体"/>
          <w:b/>
          <w:bCs/>
          <w:color w:val="auto"/>
          <w:sz w:val="24"/>
          <w:szCs w:val="24"/>
          <w:highlight w:val="none"/>
          <w:lang w:val="en-US" w:eastAsia="zh-CN"/>
        </w:rPr>
        <w:t xml:space="preserve">114</w:t>
      </w:r>
      <w:r>
        <w:rPr>
          <w:rFonts w:hint="eastAsia" w:ascii="宋体" w:hAnsi="宋体" w:eastAsia="宋体" w:cs="宋体"/>
          <w:b/>
          <w:bCs/>
          <w:color w:val="auto"/>
          <w:sz w:val="24"/>
          <w:szCs w:val="24"/>
          <w:highlight w:val="none"/>
          <w:lang w:val="zh-CN"/>
        </w:rPr>
        <w:t xml:space="preserve">元/人/每月，法定节假日加班费不得低于</w:t>
      </w:r>
      <w:r>
        <w:rPr>
          <w:rFonts w:hint="eastAsia" w:ascii="宋体" w:hAnsi="宋体" w:eastAsia="宋体" w:cs="宋体"/>
          <w:b/>
          <w:bCs/>
          <w:color w:val="auto"/>
          <w:sz w:val="24"/>
          <w:szCs w:val="24"/>
          <w:highlight w:val="none"/>
        </w:rPr>
        <w:t xml:space="preserve">4052.41</w:t>
      </w:r>
      <w:r>
        <w:rPr>
          <w:rFonts w:hint="eastAsia" w:ascii="宋体" w:hAnsi="宋体" w:eastAsia="宋体" w:cs="宋体"/>
          <w:b/>
          <w:bCs/>
          <w:color w:val="auto"/>
          <w:sz w:val="24"/>
          <w:szCs w:val="24"/>
          <w:highlight w:val="none"/>
          <w:lang w:val="zh-CN"/>
        </w:rPr>
        <w:t xml:space="preserve">元/人/每年，按</w:t>
      </w:r>
      <w:r>
        <w:rPr>
          <w:rFonts w:hint="eastAsia" w:ascii="宋体" w:hAnsi="宋体" w:eastAsia="宋体" w:cs="宋体"/>
          <w:b/>
          <w:bCs/>
          <w:color w:val="auto"/>
          <w:sz w:val="24"/>
          <w:szCs w:val="24"/>
          <w:highlight w:val="none"/>
        </w:rPr>
        <w:t xml:space="preserve">总</w:t>
      </w:r>
      <w:r>
        <w:rPr>
          <w:rFonts w:hint="eastAsia" w:ascii="宋体" w:hAnsi="宋体" w:eastAsia="宋体" w:cs="宋体"/>
          <w:b/>
          <w:bCs/>
          <w:color w:val="auto"/>
          <w:sz w:val="24"/>
          <w:szCs w:val="24"/>
          <w:highlight w:val="none"/>
          <w:lang w:val="zh-CN"/>
        </w:rPr>
        <w:t xml:space="preserve">人数</w:t>
      </w:r>
      <w:r>
        <w:rPr>
          <w:rFonts w:hint="eastAsia" w:ascii="宋体" w:hAnsi="宋体" w:eastAsia="宋体" w:cs="宋体"/>
          <w:b/>
          <w:bCs/>
          <w:color w:val="auto"/>
          <w:sz w:val="24"/>
          <w:szCs w:val="24"/>
          <w:highlight w:val="none"/>
        </w:rPr>
        <w:t xml:space="preserve">的</w:t>
      </w:r>
      <w:r>
        <w:rPr>
          <w:rFonts w:hint="eastAsia" w:ascii="宋体" w:hAnsi="宋体" w:eastAsia="宋体" w:cs="宋体"/>
          <w:b/>
          <w:bCs/>
          <w:color w:val="auto"/>
          <w:sz w:val="24"/>
          <w:szCs w:val="24"/>
          <w:highlight w:val="none"/>
          <w:lang w:val="zh-CN"/>
        </w:rPr>
        <w:t xml:space="preserve">70%</w:t>
      </w:r>
      <w:r>
        <w:rPr>
          <w:rFonts w:hint="default" w:ascii="宋体" w:hAnsi="宋体" w:cs="宋体"/>
          <w:b/>
          <w:bCs/>
          <w:color w:val="auto"/>
          <w:sz w:val="24"/>
          <w:szCs w:val="24"/>
          <w:highlight w:val="none"/>
          <w:lang w:val="en-US"/>
        </w:rPr>
        <w:t xml:space="preserve">(</w:t>
      </w:r>
      <w:r>
        <w:rPr>
          <w:rFonts w:hint="eastAsia" w:ascii="宋体" w:hAnsi="宋体" w:cs="宋体"/>
          <w:b/>
          <w:bCs/>
          <w:color w:val="auto"/>
          <w:sz w:val="24"/>
          <w:szCs w:val="24"/>
          <w:highlight w:val="none"/>
          <w:lang w:val="en-US" w:eastAsia="zh-CN"/>
        </w:rPr>
        <w:t xml:space="preserve">即：42人</w:t>
      </w:r>
      <w:r>
        <w:rPr>
          <w:rFonts w:hint="default" w:ascii="宋体" w:hAnsi="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zh-CN"/>
        </w:rPr>
        <w:t xml:space="preserve">计算加班，税金费率不得低于6.72%。</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本项目综合管理费包括办公、服装及装备费、体检费，具体包含服装费、培训费、耗材、文具、电脑、打印机、保洁设备、用具、器具、工具及耗材费、不可预见费等一切招标文件中要求报价时考虑的费用，投标人自行报价。</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（3）特殊岗位补贴是除2260元/人/月工资外的特殊补贴，该项目水电工等特殊岗位津贴人员共</w:t>
      </w: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zh-CN"/>
        </w:rPr>
        <w:t xml:space="preserve">人，特殊岗位补贴1000元/人/月。</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服装费不得低于200元/人/年，人数按60人计算</w:t>
      </w:r>
      <w:r>
        <w:rPr>
          <w:rFonts w:hint="eastAsia" w:ascii="宋体" w:hAnsi="宋体" w:eastAsia="宋体" w:cs="宋体"/>
          <w:b/>
          <w:bCs/>
          <w:color w:val="auto"/>
          <w:sz w:val="24"/>
          <w:szCs w:val="24"/>
          <w:highlight w:val="none"/>
          <w:lang w:val="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投标人所提供人员的费用</w:t>
      </w:r>
      <w:r>
        <w:rPr>
          <w:rFonts w:hint="eastAsia" w:ascii="宋体" w:hAnsi="宋体" w:eastAsia="宋体" w:cs="宋体"/>
          <w:b/>
          <w:bCs/>
          <w:color w:val="auto"/>
          <w:sz w:val="24"/>
          <w:szCs w:val="24"/>
          <w:highlight w:val="none"/>
        </w:rPr>
        <w:t xml:space="preserve">按</w:t>
      </w:r>
      <w:r>
        <w:rPr>
          <w:rFonts w:hint="eastAsia" w:ascii="宋体" w:hAnsi="宋体" w:eastAsia="宋体" w:cs="宋体"/>
          <w:b/>
          <w:bCs/>
          <w:color w:val="auto"/>
          <w:sz w:val="24"/>
          <w:szCs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12.5投标人根据招标内容的要求准确报价，一经报出，不得更改。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12.6</w:t>
      </w:r>
      <w:r>
        <w:rPr>
          <w:rFonts w:hint="eastAsia" w:ascii="宋体" w:hAnsi="宋体" w:eastAsia="宋体" w:cs="宋体"/>
          <w:color w:val="auto"/>
          <w:sz w:val="24"/>
          <w:szCs w:val="24"/>
          <w:highlight w:val="none"/>
          <w:lang w:val="zh-CN"/>
        </w:rPr>
        <w:t xml:space="preserve">投标报价的单位为人民币(元)年。如果未能按合同、招标投标文件履约的，终止合同，履约保证金不予退还，并不支付服务期间的物业服务费用。采购人有权终止合同的履行，受托单位应承担相应的完全责任，包括赔偿因此而给采购人及第三人带来的相应损失。合同期满并完成与后续物业服务企业的衔接后，方可退出，经采购人验收合格，退出本物业管理时必须向采购人移交全套档案等资料，同时退还履约保证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12.7对于超出招标文件的其他临时性服务项目，由甲乙双方协商解决。</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13、技术要求响应及偏离表、商务要求响应及偏离表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14、投标函和开标一览表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15、投标有效期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bCs/>
          <w:color w:val="auto"/>
          <w:sz w:val="24"/>
          <w:szCs w:val="24"/>
          <w:highlight w:val="none"/>
          <w:u w:val="single"/>
        </w:rPr>
        <w:t xml:space="preserve">九十（90）天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16、投标有效期的延长</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17.1电子投标文件的递交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ind w:firstLine="480"/>
        <w:jc w:val="left"/>
        <w:keepLines w:val="0"/>
        <w:keepNext w:val="0"/>
        <w:pageBreakBefore w:val="0"/>
        <w:spacing w:line="52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80页，否则本项内容不得分。上传的“明标”材料中不得出现与服务方案相关的内容，否则作无效标书处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18、投标截止时间</w:t>
      </w:r>
      <w:r/>
    </w:p>
    <w:p>
      <w:pPr>
        <w:ind w:firstLine="480"/>
        <w:jc w:val="left"/>
        <w:keepLines w:val="0"/>
        <w:keepNext w:val="0"/>
        <w:pageBreakBefore w:val="0"/>
        <w:spacing w:line="520" w:lineRule="exact"/>
        <w:widowControl w:val="off"/>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19、投标文件的拒收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20、投标文件的撤回和修改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20.1投标文件的撤回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20.1.1电子投标文件的撤回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20.2投标文件的修改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21、开标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22、评标委员会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22.1开标后，采购中心将立即组织评标委员会（以下简称评委会）进行评标。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23、评标过程的保密与公正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24、投标文件的澄清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投标人的澄清、说明或者补正不得超出投标文件的范围或者改变投标文件的实质性内容。评标委员会并非对每个投标人都做澄清要求。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25、对投标文件的初审</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25.6投标人在开、评标全过程中应保持通讯畅通，及时登录苏采云系统查阅、答复相关信息，并安排专人与采购中心及评标委员会联系。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26、无效投标条款和废标条款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iCs/>
          <w:color w:val="auto"/>
          <w:sz w:val="24"/>
          <w:szCs w:val="24"/>
          <w:highlight w:val="none"/>
          <w:u w:val="single"/>
        </w:rPr>
        <w:t xml:space="preserve">（本招标文件中斜体且有下划线部分为实质性要求和条件）</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26.1.10投标人不能证明其报价合理性的，评标委员会应当将其作为无效投标处理。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（一）评审过程中出现下列情形之一的，评标委员会应当启动异常低价投标审查程序：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1.投标报价低于采购项目预算50%的，即投标报价&lt;采购项目预算×50%；</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2.投标报价低于采购项目最高限价45%的，即投标报价&lt;采购项目最高限价×45%；</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3.评标委员会认定的供应商报价过低、有可能影响产品质量或者不能诚信履约的其他情形。</w:t>
      </w:r>
      <w:r/>
    </w:p>
    <w:p>
      <w:pPr>
        <w:ind w:firstLine="480"/>
        <w:jc w:val="left"/>
        <w:keepLines w:val="0"/>
        <w:keepNext w:val="0"/>
        <w:pageBreakBefore w:val="0"/>
        <w:spacing w:line="520" w:lineRule="exact"/>
        <w:widowControl w:val="off"/>
        <w:rPr>
          <w:rFonts w:hint="default" w:ascii="宋体" w:hAnsi="宋体" w:cs="宋体"/>
          <w:color w:val="auto"/>
          <w:sz w:val="24"/>
          <w:szCs w:val="24"/>
          <w:highlight w:val="none"/>
          <w:lang w:val="en-US"/>
        </w:rPr>
      </w:pPr>
      <w:r>
        <w:rPr>
          <w:rFonts w:hint="eastAsia" w:ascii="宋体" w:hAnsi="宋体" w:eastAsia="宋体" w:cs="宋体"/>
          <w:color w:val="auto"/>
          <w:sz w:val="24"/>
          <w:szCs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六、定标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27、确定中标单位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27.3采购中心将在“中国政府采购网”、“江苏政府采购网”、“盐城市政府采购网”发布中标公告，公告期限为1个工作日。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27.5有下列情形之一的，视为投标人串通投标，投标无效：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28、质疑处理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采购中心及采购人只接收以纸质原件形式送达的质疑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采购人和采购中心不接受未填写快递运单的快件。质疑接收部门为公共资源交易中心业务受理处，联系地址：盐城市府西路1号市公共资源交易中心522，联系电话：0515-86665052。</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29、中标通知书</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30.签订合同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31、服务（包含与服务相关的货物）的追加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32、政府采购政策功能落实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32.1政府采购线上合同信用融资政策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32.2进口产品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32.3中小企业、监狱企业及残疾人福利性单位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32.3.1中小企业定义：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w:t>
      </w:r>
      <w:r>
        <w:rPr>
          <w:rFonts w:hint="eastAsia" w:ascii="宋体" w:hAnsi="宋体" w:eastAsia="宋体" w:cs="宋体"/>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32.3.2供应商提供的货物、工程或者服务符合下列情形的，享受中小企业扶持政策：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32.3.3在货物采购项目中，供应商提供的货物既有中小企业制造货物，也有大型企业制造货物的，不享受中小企业扶持政策。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eastAsia="宋体" w:cs="宋体"/>
          <w:color w:val="auto"/>
          <w:sz w:val="24"/>
          <w:szCs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32.4政府采购节能产品、环境标志产品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32.5绿色包装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在供货、安装过程中能做到低碳物流、环保节约、提高资源利用率。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32.6政府采购创新产品</w:t>
      </w:r>
      <w:r/>
    </w:p>
    <w:p>
      <w:pPr>
        <w:ind w:firstLine="478"/>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32.7绿色数据中心政策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32.8履约保证金政策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确需收取履约保证金的，履约保证金的缴纳形式：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auto"/>
          <w:sz w:val="24"/>
          <w:szCs w:val="24"/>
          <w:highlight w:val="none"/>
        </w:rPr>
        <w:t xml:space="preserve">降低履约保证金缴纳比例为</w:t>
      </w:r>
      <w:r>
        <w:rPr>
          <w:rFonts w:hint="eastAsia" w:ascii="宋体" w:hAnsi="宋体" w:eastAsia="宋体" w:cs="宋体"/>
          <w:b/>
          <w:bCs/>
          <w:color w:val="auto"/>
          <w:sz w:val="24"/>
          <w:szCs w:val="24"/>
          <w:highlight w:val="none"/>
          <w:u w:val="single"/>
        </w:rPr>
        <w:t xml:space="preserve">5%</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33</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预付款制度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本项目落实预付款制度，预付款比例为</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。在签订合同时，中标、成交供应商明确书面表示无需预付款或者主动要求降低预付款比例的，采购人可就预付款比例作相应调整。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0"/>
        <w:jc w:val="center"/>
        <w:spacing w:line="560" w:lineRule="exact"/>
        <w:widowControl/>
        <w:rPr>
          <w:rFonts w:hint="eastAsia" w:ascii="黑体" w:hAnsi="黑体" w:eastAsia="黑体" w:cs="黑体"/>
          <w:b w:val="0"/>
          <w:bCs w:val="0"/>
          <w:color w:val="auto"/>
          <w:sz w:val="44"/>
          <w:szCs w:val="44"/>
          <w:highlight w:val="none"/>
        </w:rPr>
        <w:outlineLvl w:val="0"/>
      </w:pPr>
      <w:r/>
      <w:bookmarkStart w:id="2" w:name="_Toc31242"/>
      <w:r>
        <w:rPr>
          <w:rFonts w:hint="eastAsia" w:ascii="黑体" w:hAnsi="黑体" w:eastAsia="黑体" w:cs="黑体"/>
          <w:b w:val="0"/>
          <w:bCs w:val="0"/>
          <w:color w:val="auto"/>
          <w:sz w:val="44"/>
          <w:szCs w:val="44"/>
          <w:highlight w:val="none"/>
        </w:rPr>
        <w:t xml:space="preserve">第三章</w:t>
      </w:r>
      <w:r>
        <w:rPr>
          <w:rFonts w:hint="eastAsia" w:ascii="黑体" w:hAnsi="黑体" w:eastAsia="黑体" w:cs="黑体"/>
          <w:b w:val="0"/>
          <w:bCs w:val="0"/>
          <w:color w:val="auto"/>
          <w:sz w:val="44"/>
          <w:szCs w:val="44"/>
          <w:highlight w:val="none"/>
          <w:lang w:val="en-US" w:eastAsia="zh-CN"/>
        </w:rPr>
        <w:t xml:space="preserve"> </w:t>
      </w:r>
      <w:r>
        <w:rPr>
          <w:rFonts w:hint="eastAsia" w:ascii="黑体" w:hAnsi="黑体" w:eastAsia="黑体" w:cs="黑体"/>
          <w:b w:val="0"/>
          <w:bCs w:val="0"/>
          <w:color w:val="auto"/>
          <w:sz w:val="44"/>
          <w:szCs w:val="44"/>
          <w:highlight w:val="none"/>
        </w:rPr>
        <w:t xml:space="preserve">合同文本</w:t>
      </w:r>
      <w:bookmarkEnd w:id="2"/>
      <w:r/>
      <w:r/>
    </w:p>
    <w:p>
      <w:pPr>
        <w:pStyle w:val="944"/>
        <w:ind w:firstLine="48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ind w:firstLine="480"/>
        <w:jc w:val="center"/>
        <w:spacing w:line="520" w:lineRule="exact"/>
        <w:widowControl/>
        <w:rPr>
          <w:rFonts w:hint="eastAsia" w:asciiTheme="minorEastAsia" w:hAnsiTheme="minorEastAsia" w:cstheme="minorEastAsia"/>
          <w:b/>
          <w:bCs/>
          <w:sz w:val="28"/>
          <w:szCs w:val="21"/>
        </w:rPr>
      </w:pPr>
      <w:r>
        <w:rPr>
          <w:rFonts w:hint="eastAsia" w:asciiTheme="minorEastAsia" w:hAnsiTheme="minorEastAsia" w:cstheme="minorEastAsia"/>
          <w:b/>
          <w:bCs/>
          <w:sz w:val="28"/>
          <w:szCs w:val="21"/>
        </w:rPr>
        <w:t xml:space="preserve">政府采购合同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盐城市第一人民医院</w:t>
      </w:r>
      <w:r>
        <w:rPr>
          <w:rFonts w:hint="eastAsia" w:ascii="宋体" w:hAnsi="宋体" w:eastAsia="宋体" w:cs="宋体"/>
          <w:color w:val="auto"/>
          <w:sz w:val="24"/>
          <w:szCs w:val="24"/>
          <w:highlight w:val="none"/>
          <w:u w:val="single"/>
          <w:lang w:val="en-US" w:eastAsia="zh-CN"/>
        </w:rPr>
        <w:t xml:space="preserve">五官科</w:t>
      </w:r>
      <w:r>
        <w:rPr>
          <w:rFonts w:hint="eastAsia" w:ascii="宋体" w:hAnsi="宋体" w:eastAsia="宋体" w:cs="宋体"/>
          <w:color w:val="auto"/>
          <w:sz w:val="24"/>
          <w:szCs w:val="24"/>
          <w:highlight w:val="none"/>
          <w:u w:val="single"/>
        </w:rPr>
        <w:t xml:space="preserve">医院物业服务</w:t>
      </w:r>
      <w:r>
        <w:rPr>
          <w:rFonts w:hint="eastAsia" w:ascii="宋体" w:hAnsi="宋体" w:eastAsia="宋体" w:cs="宋体"/>
          <w:color w:val="auto"/>
          <w:sz w:val="24"/>
          <w:szCs w:val="24"/>
          <w:highlight w:val="none"/>
          <w:u w:val="single"/>
          <w:lang w:eastAsia="zh-CN"/>
        </w:rPr>
        <w:t xml:space="preserve">项目</w:t>
      </w:r>
      <w:r/>
    </w:p>
    <w:p>
      <w:pPr>
        <w:ind w:firstLine="480"/>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JSZC-320900-JZCG-G202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0057</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盐城市第一人民医院</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甲、乙双方根据盐城市政府采购中心</w:t>
      </w:r>
      <w:r>
        <w:rPr>
          <w:rFonts w:hint="eastAsia" w:ascii="宋体" w:hAnsi="宋体" w:eastAsia="宋体" w:cs="宋体"/>
          <w:color w:val="auto"/>
          <w:sz w:val="24"/>
          <w:szCs w:val="24"/>
          <w:highlight w:val="none"/>
          <w:u w:val="single"/>
        </w:rPr>
        <w:t xml:space="preserve">盐城市第一人民医院五官科医院物业服务项目</w:t>
      </w:r>
      <w:r>
        <w:rPr>
          <w:rFonts w:hint="eastAsia" w:ascii="宋体" w:hAnsi="宋体" w:eastAsia="宋体" w:cs="宋体"/>
          <w:color w:val="auto"/>
          <w:sz w:val="24"/>
          <w:szCs w:val="24"/>
          <w:highlight w:val="none"/>
        </w:rPr>
        <w:t xml:space="preserve">公开招标的结果，签署本合同。</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一、合同内容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1.1标的名称：</w:t>
      </w:r>
      <w:r>
        <w:rPr>
          <w:rFonts w:hint="eastAsia" w:ascii="宋体" w:hAnsi="宋体" w:eastAsia="宋体" w:cs="宋体"/>
          <w:color w:val="auto"/>
          <w:sz w:val="24"/>
          <w:szCs w:val="24"/>
          <w:highlight w:val="none"/>
          <w:u w:val="single"/>
          <w:lang w:val="en-US" w:eastAsia="zh-CN"/>
        </w:rPr>
        <w:t xml:space="preserve">盐城市第一人民医院五官科</w:t>
      </w:r>
      <w:r>
        <w:rPr>
          <w:rFonts w:hint="eastAsia" w:ascii="宋体" w:hAnsi="宋体" w:eastAsia="宋体" w:cs="宋体"/>
          <w:color w:val="auto"/>
          <w:sz w:val="24"/>
          <w:szCs w:val="24"/>
          <w:highlight w:val="none"/>
          <w:u w:val="single"/>
        </w:rPr>
        <w:t xml:space="preserve">医院物业服务</w:t>
      </w:r>
      <w:r>
        <w:rPr>
          <w:rFonts w:hint="eastAsia" w:ascii="宋体" w:hAnsi="宋体" w:eastAsia="宋体" w:cs="宋体"/>
          <w:color w:val="auto"/>
          <w:sz w:val="24"/>
          <w:szCs w:val="24"/>
          <w:highlight w:val="none"/>
          <w:u w:val="single"/>
          <w:lang w:val="en-US" w:eastAsia="zh-CN"/>
        </w:rPr>
        <w:t xml:space="preserve">项目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u w:val="single"/>
          <w:lang w:val="en-US" w:eastAsia="zh-CN"/>
        </w:rPr>
        <w:t xml:space="preserve">满足甲方要求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履行时间（期限）：</w:t>
      </w:r>
      <w:r>
        <w:rPr>
          <w:rFonts w:hint="eastAsia" w:ascii="宋体" w:hAnsi="宋体" w:eastAsia="宋体" w:cs="宋体"/>
          <w:color w:val="auto"/>
          <w:sz w:val="24"/>
          <w:szCs w:val="24"/>
          <w:highlight w:val="none"/>
          <w:u w:val="single"/>
          <w:lang w:val="en-US" w:eastAsia="zh-CN"/>
        </w:rPr>
        <w:t xml:space="preserve">一年，自    年   月   日至    年   月   日</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履行地点：</w:t>
      </w:r>
      <w:r>
        <w:rPr>
          <w:rFonts w:hint="eastAsia" w:ascii="宋体" w:hAnsi="宋体" w:eastAsia="宋体" w:cs="宋体"/>
          <w:color w:val="auto"/>
          <w:sz w:val="24"/>
          <w:szCs w:val="24"/>
          <w:highlight w:val="none"/>
          <w:u w:val="single"/>
          <w:lang w:val="en-US" w:eastAsia="zh-CN"/>
        </w:rPr>
        <w:t xml:space="preserve">盐城市第一人民医院五官科</w:t>
      </w:r>
      <w:r>
        <w:rPr>
          <w:rFonts w:hint="eastAsia" w:ascii="宋体" w:hAnsi="宋体" w:eastAsia="宋体" w:cs="宋体"/>
          <w:color w:val="auto"/>
          <w:sz w:val="24"/>
          <w:szCs w:val="24"/>
          <w:highlight w:val="none"/>
          <w:u w:val="single"/>
        </w:rPr>
        <w:t xml:space="preserve">医院</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二、合同金额</w:t>
      </w:r>
      <w:r>
        <w:rPr>
          <w:rFonts w:hint="eastAsia" w:ascii="宋体" w:hAnsi="宋体" w:eastAsia="宋体" w:cs="宋体"/>
          <w:b/>
          <w:bCs/>
          <w:color w:val="auto"/>
          <w:sz w:val="24"/>
          <w:szCs w:val="24"/>
          <w:highlight w:val="none"/>
          <w:lang w:eastAsia="zh-CN"/>
        </w:rPr>
        <w:t xml:space="preserve">及支付方式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2.1本合同金额为人民币（大写）：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2.2合同价应包括人员工资及国家法定节假日加班费等补助、社保费、办公费、工作所需的保洁工具及耗材、固定资产折旧费、法定税费及公众责任保险费和合理利润外，还应包括：管理、劳务、培训、体检、国家法定假日加班、高温补助、服装、风险、税金及政策性文件规定等各项应有费用，以及为完成招标文件规定服务工作所涉及的一切相关费用。合同期内遇政府调整职工最低工资标准或社会保险缴纳基数，按政府</w:t>
      </w:r>
      <w:r>
        <w:rPr>
          <w:rFonts w:hint="eastAsia" w:ascii="宋体" w:hAnsi="宋体" w:eastAsia="宋体" w:cs="宋体"/>
          <w:color w:val="auto"/>
          <w:sz w:val="24"/>
          <w:szCs w:val="24"/>
          <w:highlight w:val="none"/>
          <w:lang w:eastAsia="zh-CN"/>
        </w:rPr>
        <w:t xml:space="preserve">政策文件</w:t>
      </w:r>
      <w:r>
        <w:rPr>
          <w:rFonts w:hint="eastAsia" w:ascii="宋体" w:hAnsi="宋体" w:eastAsia="宋体" w:cs="宋体"/>
          <w:color w:val="auto"/>
          <w:sz w:val="24"/>
          <w:szCs w:val="24"/>
          <w:highlight w:val="none"/>
        </w:rPr>
        <w:t xml:space="preserve">调整，其余项目不调整。</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2.3最终结算时，物业管理服务人员按实际上岗人数计算，并经甲方确认。甲方每月30日前根据医院考核小组对物业服务人员考核，向乙方支付上一个月物业服务费，付款时须按照国家相关规定及甲方的要求提供有效的增值税发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支付方式：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预付款支付时间：合同签订后，甲方收到乙方等额的合法发票后10个工作日内，预付款支付比例为合同金额的30%。</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每月30日前，甲方根据服务单位管理资料、费用支付申请与甲方考核结果（包括服务与培训情况、工资发放、社保缴纳等），甲方收到乙方等额的合法发票后10个工作日内向乙方支付上一个月服务费（付款时，扣回预付款），付款时须按照国家相关规定及甲方的要求提供有效的增值税发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按以上付款，无任何银行利息，由乙方事先提供税务发票，一律通过银行结转。</w:t>
      </w:r>
      <w:r/>
    </w:p>
    <w:p>
      <w:pPr>
        <w:numPr>
          <w:ilvl w:val="0"/>
          <w:numId w:val="1"/>
        </w:numPr>
        <w:ind w:firstLine="480"/>
        <w:jc w:val="left"/>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注：合同期内，物业服务费除因政策性因素调整外，其他均不作调整。【如甲方有增加人员或病区（超出合同服务范围的），结算时可以按相同的报价结算，但增加金额不超过原合同金额的10%。】。</w:t>
      </w:r>
      <w:r/>
    </w:p>
    <w:tbl>
      <w:tblPr>
        <w:tblStyle w:val="8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52"/>
        <w:gridCol w:w="3122"/>
        <w:gridCol w:w="2782"/>
      </w:tblGrid>
      <w:tr>
        <w:trPr>
          <w:trHeight w:val="625"/>
        </w:trPr>
        <w:tc>
          <w:tcPr>
            <w:tcW w:w="295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项目</w:t>
            </w:r>
            <w:r/>
          </w:p>
        </w:tc>
        <w:tc>
          <w:tcPr>
            <w:tcW w:w="312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甲方</w:t>
            </w:r>
            <w:r/>
          </w:p>
        </w:tc>
        <w:tc>
          <w:tcPr>
            <w:tcW w:w="278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乙方</w:t>
            </w:r>
            <w:r/>
          </w:p>
        </w:tc>
      </w:tr>
      <w:tr>
        <w:trPr>
          <w:trHeight w:val="615"/>
        </w:trPr>
        <w:tc>
          <w:tcPr>
            <w:tcW w:w="295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t xml:space="preserve">收款户名</w:t>
            </w:r>
            <w:r/>
          </w:p>
        </w:tc>
        <w:tc>
          <w:tcPr>
            <w:tcW w:w="312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 xml:space="preserve">盐城市第一人民医院</w:t>
            </w:r>
            <w:r/>
          </w:p>
        </w:tc>
        <w:tc>
          <w:tcPr>
            <w:tcW w:w="278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r>
            <w:r/>
          </w:p>
        </w:tc>
      </w:tr>
      <w:tr>
        <w:trPr/>
        <w:tc>
          <w:tcPr>
            <w:tcW w:w="295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开户银行</w:t>
            </w:r>
            <w:r/>
          </w:p>
        </w:tc>
        <w:tc>
          <w:tcPr>
            <w:tcW w:w="312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中国建设银行股份有限公司盐城迎宾支行</w:t>
            </w:r>
            <w:r/>
          </w:p>
        </w:tc>
        <w:tc>
          <w:tcPr>
            <w:tcW w:w="278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r>
            <w:r/>
          </w:p>
        </w:tc>
      </w:tr>
      <w:tr>
        <w:trPr>
          <w:trHeight w:val="600"/>
        </w:trPr>
        <w:tc>
          <w:tcPr>
            <w:tcW w:w="295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账号</w:t>
            </w:r>
            <w:r/>
          </w:p>
        </w:tc>
        <w:tc>
          <w:tcPr>
            <w:tcW w:w="312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32001735136051464002</w:t>
            </w:r>
            <w:r/>
          </w:p>
        </w:tc>
        <w:tc>
          <w:tcPr>
            <w:tcW w:w="2782"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default" w:ascii="宋体" w:hAnsi="宋体" w:eastAsia="宋体" w:cs="宋体"/>
                <w:color w:val="auto"/>
                <w:sz w:val="24"/>
                <w:szCs w:val="24"/>
                <w:highlight w:val="none"/>
                <w:vertAlign w:val="baseline"/>
                <w:lang w:val="en-US" w:eastAsia="zh-CN"/>
              </w:rPr>
            </w:r>
            <w:r/>
          </w:p>
        </w:tc>
      </w:tr>
    </w:tbl>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三、技术资料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w:t>
      </w:r>
      <w:r>
        <w:rPr>
          <w:rFonts w:hint="eastAsia" w:ascii="宋体" w:hAnsi="宋体" w:eastAsia="宋体" w:cs="宋体"/>
          <w:color w:val="auto"/>
          <w:sz w:val="24"/>
          <w:szCs w:val="24"/>
          <w:highlight w:val="none"/>
          <w:lang w:eastAsia="zh-CN"/>
        </w:rPr>
        <w:t xml:space="preserve">给予</w:t>
      </w:r>
      <w:r>
        <w:rPr>
          <w:rFonts w:hint="eastAsia" w:ascii="宋体" w:hAnsi="宋体" w:eastAsia="宋体" w:cs="宋体"/>
          <w:color w:val="auto"/>
          <w:sz w:val="24"/>
          <w:szCs w:val="24"/>
          <w:highlight w:val="none"/>
        </w:rPr>
        <w:t xml:space="preserve">履行本合同无关的任何其他人。即使向履行本合同有关的人员提供，也应注意保密并限于履行合同的必需范围。</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四、知识产权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五、产权担保</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六、履约保证金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乙方交纳人民币_________元作为本合同的履约保证金。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（备注：履约保证金金额为合同金额的10%，乙方如为AA评级及以上政府采购供应商（需提供信用管理部门备案的第三方信用报告），</w:t>
      </w:r>
      <w:r>
        <w:rPr>
          <w:rFonts w:hint="eastAsia" w:ascii="宋体" w:hAnsi="宋体" w:eastAsia="宋体" w:cs="宋体"/>
          <w:b/>
          <w:bCs/>
          <w:color w:val="auto"/>
          <w:sz w:val="24"/>
          <w:szCs w:val="24"/>
          <w:highlight w:val="none"/>
        </w:rPr>
        <w:t xml:space="preserve">履约保证金缴纳金额为合同金额的5%</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2确需收取履约保证金的，履约保证金的缴纳形式：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2.2如以履约保函（保险）形式缴纳履约保证金，供应商可通过政府采购电子履约保函（保险）平台（www.jsdzbh.com）在线申请履约保函（保险）。</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2.3合同履行结束后，甲方应及时退还交纳的履约保证金。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2.4履约保证金的退还：</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方式：无息退还至乙方缴纳履约保证金的账户。如为保函，在到期时自行失效。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时间：如为支票、汇票、本票，在服务期满后30日内退还。</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条件：按合同要求全部履约完成并经甲方验收合格。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不予退还情形：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除不可抗力情况外，乙方出现下列情形之一的，其履约保证金，甲方将视情节决定不予退还或部分不予退还。</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2）乙方不履行与甲方订立的合同的；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3）乙方所供服务不符合招标文件规定要求的；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5）乙方将合同内容转包、违法分包的；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.5逾期退还的违约责任：甲方逾期无故未退还履约保证金的，按中国人民银行同期贷款基准利率上浮20%后的利率支付超期资金占用费，但因供应商自身原因导致无法及时退还的除外。</w:t>
      </w:r>
      <w:r/>
    </w:p>
    <w:p>
      <w:pPr>
        <w:ind w:firstLine="480"/>
        <w:jc w:val="left"/>
        <w:keepLines w:val="0"/>
        <w:keepNext w:val="0"/>
        <w:pageBreakBefore w:val="0"/>
        <w:spacing w:line="520" w:lineRule="exact"/>
        <w:widowControl w:val="off"/>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七、甲方和乙方的权利和义务</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7.1甲方的权利和义务</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7.1.1甲方有权对乙方进行业务指导、督查。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7.1.2审定乙方拟定的物业管理制度。</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7.1.3检查、监督乙方管理工作的实施及有关物管制度的执行情况。</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7.1.4向乙方提供管理运作所需的办公室。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7.1.5水电维修所需耗材由甲方承担，乙方根据维修需要向甲方申领。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7.1.6协助乙方做好物业管理工作，对乙方主要物管费用的使用情况有知情权、建议权。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7.1.7甲方每月对乙方的服务情况进行考核。主要考核乙方的人员配备、管理机制、保洁等工作人员的服务态度和质量等。由甲方在病区医生、护士、病员中发放满意度考核表，实行百分制考核，85分达标。甲方考核小组对每月考核的情况进行反馈，根据考核的结果进行处罚，并从考核保证金中扣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7.1.8甲方在下列情况下可解除或终止与乙方签订的协议，不视为违约：</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（1）乙方连续两次满意度考核低于80分，甲方有权终止与乙方签订的合同。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（2）遇有国家或地方政府的政策原因或医院重大决策调整以及发生不可抗力因素，甲方有权解除与乙方签订的协议，所造成的损失由双方协商解决。</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7.1.9法律法规规定的应由甲方承担的其他责任。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7.2乙方的权利和义务</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7.2.1制定物业管理制度，加强管理，严格认真地定期督查考核，并征求甲方管理人员意见。</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7.2.2物业服务人员均由乙方招聘、管理和使用，工资、福利待遇等均由乙方负责。根据《中华人民共和国劳动法》、《中华人民共和国劳动合同法》等法律法规的规定，乙方自行缴纳在甲方服务人员的各项社会保险费用并发放按国家享有各种福利待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7.2.3特殊工种人员必须经过培训并具备相应资格证书以及在特殊岗位每年的必须检查项目费用和培训费用由乙方承担。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7.2.4乙方在本物业的主要负责人（含主管）须符合招标文件规定的条件。所有管理岗位人员必须达到规定的资格要求，甲方有权要求乙方对不符合条件的乙方人员予以调整。</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7.2.5乙方不得将本物业的管理服务责任转让给第三方，不得与任何一家物业服务公司进行合作管理本物业。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7.2.6对本物业公共设施不得擅自占用和改变使用功能，如需改变用途，须报甲方批准。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7.2.7乙方在工作期间必须节约和使用耗材，杜绝浪费，对甲方相关房屋、设备、家具等人为造成损坏或由于工作不到位等原因造成甲方财产损失的要依法赔偿，并追究相关人员责任。</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7.2.8乙方工作人员要统一着装，所有人员一律挂牌上岗。</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7.2.9乙方服务人员必须文明服务、安全操作，所有服务人员的人身安全和经济责任，均由乙方负责。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7.2.10物业服务所需机械设备、设施由乙方自行提供。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7.2.11乙方服务人员必须遵纪守法，同时遵守医院相关规定，如出现违纪违规的行为，乙方负责教育和处理，并承担相应经济和法律责任。</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7.2.12乙方应加强对员工的教育管理，员工如出现违规、违纪行为，造成纠纷、财产损失、人员伤亡的，乙方负全部责任。</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7.2.13接受盐城市业务主管部门及政府有关部门的监督指导，遵守甲方的管理制度，服从甲方整体管理。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7.2.14如某个岗位人员流动造成此岗位空缺的，乙方须在7日内安排合格人员到岗，否则甲方有权直接安排人员到岗，甲方直接安排该人员工资，直接从合同价款扣除。同时须承担5000元的违约金。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7.2.15法律法规规定的应由乙方承担的其他责任。</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7.2.16本合同终止后，乙方必须向甲方移交全部服务用房及物业管理服务的全部档案资料，甲方不负责乙方招聘人员的安排和补偿。</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7.2.17乙方每年对医院所有PVC地面进行打蜡保养维护至少1次。费用包含在合同价中，甲方不另行增加此项费用。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7.2.18所有物管工作不受节假日、昼夜、天气、季节的影响，无条件服从甲方的作息时间和要求。</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八、合同转包或分包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8.1乙方不得将合同标的转包给他人履行。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8.2乙方不得将合同标的分包给他人履行。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8.3乙方如有转包或未经甲方同意的分包行为，甲方有权解除合同。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九、税费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9.1本合同执行中相关的一切税费均由乙方负担。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十、项目验收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10.1甲方依法组织履约验收工作。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10.3对于实际使用人和甲方分离的项目，甲方邀请实际使用人参与验收。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11.4如有必要，甲方邀请参加本项目的其他供应商或第三方专业机构及专家参与验收，相关意见将作为验收书的参考资料。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十一、物业管理考核办法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为做好盐城市第一人民医院五官科医院医疗场所外包的物业管理，促进物业管理单位能够切实履行物业承包协议，更好的落实管理措施，使市第一人民医院物业管理工作标准化、制度化、规范化，创建优美、整洁、安全、方便、舒适、文明的医疗就诊环境，特制订本办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（一）考核单位：盐城市第一人民医院，考核对象：物业管理公司（乙方）及其拟派物业服务人员。</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二）考核目的：督促物管公司进行制度化、规范化、科学化管理，树立良好的服务形象，保证物资配送到位、陪检规范、辅助护理工作到位，确保环境整洁优美，不断完善物业管理工作，提高服务保障工作水平。</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（三）考核项目：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1、保洁工作：院内、院外保洁、停车场保洁、医疗及非医疗区域、虫害消杀服务、医疗垃圾、生活垃圾收集等。</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2、陪检配送：各科物资配送、患者陪护检查。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特殊工种（水电工、氧气工、收费员、导医、影像助理、药剂助理、护理助理、消毒员等工种）考核：甲方对特殊工种工作量进行考核，每季度考核一次，考核办法为从特殊岗位津贴中支出1000元/人/月或500元/人/月（实际发放按特殊工种持有证书等级、工种设定，每季度经甲方考核合格后予以支付，否则不予支付。</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（四）量化考核</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日常考核：物管办每月至少两次派出专人对工作内容的完成情况进行督促检查，其余时间不定期抽查，检查人填写工作检查记录由物业公司被检查人签字认可并整理保存。根据平时检查结果，作为考核内容存档。物管办有权针对出现的问题对物业公司实施处罚，并下达书面整改通知，责成物管公司限期整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2、季度、年度考核</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3、物业管理工作考核大纲</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en-US"/>
        </w:rPr>
        <w:t xml:space="preserve">物业管理工作考核制度总分100分，分为科室考核和院内测评，科室考核占</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en-US"/>
        </w:rPr>
        <w:t xml:space="preserve">0分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en-US"/>
        </w:rPr>
        <w:t xml:space="preserve">院内测评</w:t>
      </w:r>
      <w:r>
        <w:rPr>
          <w:rFonts w:hint="eastAsia" w:ascii="宋体" w:hAnsi="宋体" w:eastAsia="宋体" w:cs="宋体"/>
          <w:color w:val="auto"/>
          <w:sz w:val="24"/>
          <w:szCs w:val="24"/>
          <w:highlight w:val="none"/>
          <w:lang w:val="en-US" w:eastAsia="zh-CN"/>
        </w:rPr>
        <w:t xml:space="preserve">占40分。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注：科室考核详见附件《盐城市第一人民医院外包人员行为规范及考核细则（试行）》、《陪检配送（含医疗垃圾房）服务考核细则》、《保洁窗口服务（含生活垃圾房）考核细则》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考核等级分为优、良、差三等，每季度考核一次。</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7"/>
        <w:gridCol w:w="2217"/>
        <w:gridCol w:w="2047"/>
        <w:gridCol w:w="2186"/>
      </w:tblGrid>
      <w:tr>
        <w:trPr>
          <w:trHeight w:val="594"/>
        </w:trPr>
        <w:tc>
          <w:tcPr>
            <w:tcW w:w="207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考核等级</w:t>
            </w:r>
            <w:r/>
          </w:p>
        </w:tc>
        <w:tc>
          <w:tcPr>
            <w:tcW w:w="221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优</w:t>
            </w:r>
            <w:r/>
          </w:p>
        </w:tc>
        <w:tc>
          <w:tcPr>
            <w:tcW w:w="204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良</w:t>
            </w:r>
            <w:r/>
          </w:p>
        </w:tc>
        <w:tc>
          <w:tcPr>
            <w:tcW w:w="2186"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差</w:t>
            </w:r>
            <w:r/>
          </w:p>
        </w:tc>
      </w:tr>
      <w:tr>
        <w:trPr>
          <w:trHeight w:val="606"/>
        </w:trPr>
        <w:tc>
          <w:tcPr>
            <w:tcW w:w="207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分数范围</w:t>
            </w:r>
            <w:r/>
          </w:p>
        </w:tc>
        <w:tc>
          <w:tcPr>
            <w:tcW w:w="221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90～100分</w:t>
            </w:r>
            <w:r/>
          </w:p>
        </w:tc>
        <w:tc>
          <w:tcPr>
            <w:tcW w:w="204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60～90分</w:t>
            </w:r>
            <w:r/>
          </w:p>
        </w:tc>
        <w:tc>
          <w:tcPr>
            <w:tcW w:w="2186"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60分以下</w:t>
            </w:r>
            <w:r/>
          </w:p>
        </w:tc>
      </w:tr>
    </w:tbl>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考核结果与主管绩效挂钩，物业公司主管人员每月收入的20%由院方根据考核结果发放。考核为优，全额发放；考核为良，发放60%；考核不合格，全额扣除。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十二、物业外包合同一票否决条款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1、物业外包合同周期一年。年度考核综合得分≥90分的，按合同执行付款协议；得分＜90分的，处以合同价5%的处罚。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2、对上级主管部门专项检查或服务对象满意度调查反馈情况中发生下列情形的实行一票否决：</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对第三方机构出院患者满意度调查中，满意度低于90%两次以上（含两次），经调查问责，系物管人员主观原因造成的服务缺失；②因行风服务问题，导致患者向上级部门和新闻媒体投诉或曝光，经查有明确责任的当事人，以及因违纪违规行为受到党政纪处理的物业公司当事人；③因物业公司自身工作缺失，直接导致迎接上级创文督查或其他专项检查得分排名严重靠后，对医院工作造成严重不良后果或巨大损失的实行一票否决。</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、违约责任</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13.1甲方无正当理由拒绝接受乙方提供服务的，甲方向乙方偿付拒绝接受服务合同价款总值</w:t>
      </w:r>
      <w:r>
        <w:rPr>
          <w:rFonts w:hint="eastAsia" w:ascii="宋体" w:hAnsi="宋体" w:eastAsia="宋体" w:cs="宋体"/>
          <w:color w:val="auto"/>
          <w:sz w:val="24"/>
          <w:szCs w:val="24"/>
          <w:highlight w:val="none"/>
          <w:u w:val="single"/>
          <w:lang w:val="en-US" w:eastAsia="zh-CN"/>
        </w:rPr>
        <w:t xml:space="preserve">千分之一</w:t>
      </w:r>
      <w:r>
        <w:rPr>
          <w:rFonts w:hint="eastAsia" w:ascii="宋体" w:hAnsi="宋体" w:eastAsia="宋体" w:cs="宋体"/>
          <w:color w:val="auto"/>
          <w:sz w:val="24"/>
          <w:szCs w:val="24"/>
          <w:highlight w:val="none"/>
          <w:lang w:val="en-US" w:eastAsia="zh-CN"/>
        </w:rPr>
        <w:t xml:space="preserve">的违约金。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13.2甲方无故逾期验收和办理合同款项支付手续的，甲方应按逾期付款总额</w:t>
      </w:r>
      <w:r>
        <w:rPr>
          <w:rFonts w:hint="eastAsia" w:ascii="宋体" w:hAnsi="宋体" w:eastAsia="宋体" w:cs="宋体"/>
          <w:color w:val="auto"/>
          <w:sz w:val="24"/>
          <w:szCs w:val="24"/>
          <w:highlight w:val="none"/>
          <w:u w:val="single"/>
          <w:lang w:val="en-US" w:eastAsia="zh-CN"/>
        </w:rPr>
        <w:t xml:space="preserve">万分之一</w:t>
      </w:r>
      <w:r>
        <w:rPr>
          <w:rFonts w:hint="eastAsia" w:ascii="宋体" w:hAnsi="宋体" w:eastAsia="宋体" w:cs="宋体"/>
          <w:color w:val="auto"/>
          <w:sz w:val="24"/>
          <w:szCs w:val="24"/>
          <w:highlight w:val="none"/>
          <w:lang w:val="en-US" w:eastAsia="zh-CN"/>
        </w:rPr>
        <w:t xml:space="preserve">每日向乙方支付违约金。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13.3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的违约金，如造成甲方损失超过违约金的，超出部分由乙方继续承担赔偿责任。 </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13.4乙方所提供服务的标准不符合合同规定及招标文件规定标准的，甲方有权拒绝接受服务，并可单方面解除合同。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13.5由于乙方的原因，给国家、甲方或第三方造成的损失与伤害，工人聚众闹事或者通过其它形式扰乱甲方正常工作或者给甲方造成媒体和社会负面影响的，所涉及的行政的、法律的、民事的责任由乙方全部承担，并承担相应的经济赔偿，甲方有权终止合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十四、不可抗力事件处理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14.1在合同有效期内，任何一方因不可抗力事件导致不能履行合同，则合同履行期可延长，其延长期与不可抗力影响期相同。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14.2不可抗力事件发生后，应立即通知对方，并寄送有关权威机构出具的证明。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14.3不可抗力事件延续120天以上，双方应通过友好协商，确定是否继续履行合同。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十五、解决争议的方法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15.1双方在签订、履行合同中所发生的一切争议，应通过友好协商解决。如协商不成，由甲方住所地人民法院管辖。</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十六、合同生效及其它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16.1合同经双方法定代表人或授权委托代表人签字并加盖单位公章后生效。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16.2本合同未尽事宜，遵照《中华人民共和国民法典》、《中华人民共和国政府采购法》有关条文执行。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16.3 本合同正本一式陆份，具有同等法律效力，甲方肆份，乙方贰份。</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附件：</w:t>
      </w:r>
      <w:r/>
    </w:p>
    <w:p>
      <w:pPr>
        <w:ind w:firstLine="480"/>
        <w:jc w:val="left"/>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1、《物管监督考核细则》</w:t>
      </w:r>
      <w:r/>
    </w:p>
    <w:p>
      <w:pPr>
        <w:ind w:firstLine="480"/>
        <w:jc w:val="left"/>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2、《盐城市第一人民医院外包人员行为规范及考核细则（试行）》</w:t>
      </w:r>
      <w:r/>
    </w:p>
    <w:p>
      <w:pPr>
        <w:ind w:firstLine="480"/>
        <w:jc w:val="left"/>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3、《陪检配送（含医疗垃圾房）服务考核细则》</w:t>
      </w:r>
      <w:r/>
    </w:p>
    <w:p>
      <w:pPr>
        <w:ind w:firstLine="480"/>
        <w:jc w:val="left"/>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4、《保洁、司梯服务（含生活垃圾房）考核细则》</w:t>
      </w:r>
      <w:r/>
    </w:p>
    <w:p>
      <w:pPr>
        <w:ind w:firstLine="480"/>
        <w:jc w:val="left"/>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5、《医技工勤/收费人员考核细则》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甲方：                         乙方：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地址：                         地址：</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法定代表人或授权代表：         法定代表人或授权代表：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联系电话：                     联系电话：</w:t>
      </w:r>
      <w:r/>
    </w:p>
    <w:p>
      <w:pPr>
        <w:ind w:firstLine="480"/>
        <w:jc w:val="center"/>
        <w:keepLines w:val="0"/>
        <w:keepNext w:val="0"/>
        <w:pageBreakBefore w:val="0"/>
        <w:spacing w:line="52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                      签订日期：    年    月   日</w:t>
      </w:r>
      <w:r>
        <w:rPr>
          <w:rFonts w:hint="eastAsia" w:ascii="宋体" w:hAnsi="宋体" w:eastAsia="宋体" w:cs="宋体"/>
          <w:b/>
          <w:bCs/>
          <w:color w:val="auto"/>
          <w:sz w:val="32"/>
          <w:szCs w:val="32"/>
          <w:highlight w:val="none"/>
        </w:rPr>
        <w:br w:type="page" w:clear="all"/>
      </w:r>
      <w:r/>
    </w:p>
    <w:p>
      <w:pPr>
        <w:jc w:val="center"/>
        <w:keepLines w:val="0"/>
        <w:keepNext w:val="0"/>
        <w:pageBreakBefore w:val="0"/>
        <w:spacing w:line="36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盐城市第一人民医院五官科医院物业服务考核标准</w:t>
      </w:r>
      <w:r/>
    </w:p>
    <w:tbl>
      <w:tblPr>
        <w:tblStyle w:val="782"/>
        <w:tblW w:w="87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2"/>
        <w:gridCol w:w="791"/>
        <w:gridCol w:w="5095"/>
        <w:gridCol w:w="663"/>
        <w:gridCol w:w="637"/>
        <w:gridCol w:w="787"/>
      </w:tblGrid>
      <w:tr>
        <w:trPr>
          <w:jc w:val="center"/>
          <w:trHeight w:val="816"/>
        </w:trPr>
        <w:tc>
          <w:tcPr>
            <w:gridSpan w:val="6"/>
            <w:shd w:val="clear" w:color="auto" w:fill="auto"/>
            <w:tcBorders>
              <w:top w:val="none" w:color="000000" w:sz="4" w:space="0"/>
              <w:left w:val="none" w:color="000000" w:sz="4" w:space="0"/>
              <w:bottom w:val="single" w:color="000000" w:sz="4" w:space="0"/>
              <w:right w:val="none" w:color="000000" w:sz="4" w:space="0"/>
            </w:tcBorders>
            <w:tcW w:w="8715"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b/>
                <w:bCs/>
                <w:i w:val="0"/>
                <w:iCs w:val="0"/>
                <w:color w:val="auto"/>
                <w:sz w:val="28"/>
                <w:szCs w:val="28"/>
                <w:highlight w:val="none"/>
                <w:u w:val="none"/>
                <w:lang w:val="en-US" w:eastAsia="zh-CN" w:bidi="ar-SA"/>
              </w:rPr>
            </w:pPr>
            <w:r>
              <w:rPr>
                <w:rFonts w:hint="eastAsia" w:ascii="宋体" w:hAnsi="宋体" w:eastAsia="宋体" w:cs="宋体"/>
                <w:b/>
                <w:bCs/>
                <w:i w:val="0"/>
                <w:iCs w:val="0"/>
                <w:color w:val="auto"/>
                <w:sz w:val="28"/>
                <w:szCs w:val="28"/>
                <w:highlight w:val="none"/>
                <w:u w:val="none"/>
                <w:lang w:val="en-US" w:eastAsia="zh-CN" w:bidi="ar-SA"/>
              </w:rPr>
              <w:t xml:space="preserve">物管监督考核细则评分</w:t>
            </w:r>
            <w:r/>
          </w:p>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考核时间：   月    日</w:t>
            </w:r>
            <w:r/>
          </w:p>
        </w:tc>
      </w:tr>
      <w:tr>
        <w:trPr>
          <w:jc w:val="center"/>
          <w:trHeight w:val="969"/>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总分 </w:t>
            </w:r>
            <w:r/>
          </w:p>
        </w:tc>
        <w:tc>
          <w:tcPr>
            <w:shd w:val="clear" w:color="auto" w:fill="auto"/>
            <w:tcBorders>
              <w:top w:val="single" w:color="000000" w:sz="4" w:space="0"/>
              <w:left w:val="single" w:color="000000" w:sz="4" w:space="0"/>
              <w:bottom w:val="single" w:color="000000" w:sz="4" w:space="0"/>
              <w:right w:val="single" w:color="000000" w:sz="4" w:space="0"/>
            </w:tcBorders>
            <w:tcW w:w="509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考 核  标  准  </w:t>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检查中存</w:t>
            </w:r>
            <w:r/>
          </w:p>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在问题</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rPr>
              <w:t xml:space="preserve">100分</w:t>
            </w:r>
            <w:r/>
          </w:p>
        </w:tc>
        <w:tc>
          <w:tcPr>
            <w:shd w:val="clear" w:color="auto" w:fill="auto"/>
            <w:tcBorders>
              <w:top w:val="single" w:color="000000" w:sz="4" w:space="0"/>
              <w:left w:val="single" w:color="000000" w:sz="4" w:space="0"/>
              <w:bottom w:val="single" w:color="000000" w:sz="4" w:space="0"/>
              <w:right w:val="single" w:color="000000" w:sz="4" w:space="0"/>
            </w:tcBorders>
            <w:tcW w:w="509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76"/>
        </w:trPr>
        <w:tc>
          <w:tcPr>
            <w:shd w:val="clear" w:color="auto" w:fill="auto"/>
            <w:tcBorders>
              <w:top w:val="none" w:color="000000" w:sz="4" w:space="0"/>
              <w:left w:val="single" w:color="000000" w:sz="4" w:space="0"/>
              <w:bottom w:val="none" w:color="000000" w:sz="4" w:space="0"/>
              <w:right w:val="single" w:color="000000" w:sz="4" w:space="0"/>
            </w:tcBorders>
            <w:tcW w:w="74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员工管理及绩效</w:t>
            </w:r>
            <w:r/>
          </w:p>
        </w:tc>
        <w:tc>
          <w:tcPr>
            <w:shd w:val="clear" w:color="auto" w:fill="auto"/>
            <w:tcBorders>
              <w:top w:val="single" w:color="000000" w:sz="4" w:space="0"/>
              <w:left w:val="single" w:color="000000" w:sz="4" w:space="0"/>
              <w:bottom w:val="none" w:color="000000" w:sz="4" w:space="0"/>
              <w:right w:val="none" w:color="000000" w:sz="4" w:space="0"/>
            </w:tcBorders>
            <w:tcW w:w="791"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vertAlign w:val="baseline"/>
                <w:lang w:val="en-US" w:eastAsia="zh-CN"/>
              </w:rPr>
              <w:t xml:space="preserve">各级管理岗位配置齐全，管理人员认真负责，充分发挥管理职能，确保各项规急制度落实到位，工作有记录、有总结。</w:t>
            </w:r>
            <w:r>
              <w:rPr>
                <w:rFonts w:hint="eastAsia" w:ascii="宋体" w:hAnsi="宋体" w:eastAsia="宋体" w:cs="宋体"/>
                <w:i w:val="0"/>
                <w:iCs w:val="0"/>
                <w:color w:val="auto"/>
                <w:sz w:val="24"/>
                <w:szCs w:val="24"/>
                <w:highlight w:val="none"/>
                <w:u w:val="none"/>
                <w:lang w:val="en-US" w:eastAsia="zh-CN"/>
              </w:rPr>
              <w:t xml:space="preserve">共3分，一次不符合扣1分。</w:t>
            </w:r>
            <w:r/>
          </w:p>
        </w:tc>
        <w:tc>
          <w:tcPr>
            <w:shd w:val="clear" w:color="auto" w:fill="auto"/>
            <w:tcBorders>
              <w:top w:val="none" w:color="000000" w:sz="4" w:space="0"/>
              <w:left w:val="none" w:color="000000" w:sz="4" w:space="0"/>
              <w:bottom w:val="single" w:color="000000" w:sz="4" w:space="0"/>
              <w:right w:val="single" w:color="000000" w:sz="4" w:space="0"/>
            </w:tcBorders>
            <w:tcW w:w="663" w:type="dxa"/>
            <w:vAlign w:val="center"/>
            <w:textDirection w:val="lrTb"/>
            <w:noWrap/>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637" w:type="dxa"/>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787" w:type="dxa"/>
            <w:vAlign w:val="bottom"/>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r>
      <w:tr>
        <w:trPr>
          <w:jc w:val="center"/>
          <w:trHeight w:val="1968"/>
        </w:trPr>
        <w:tc>
          <w:tcPr>
            <w:shd w:val="clear" w:color="auto" w:fill="auto"/>
            <w:tcBorders>
              <w:top w:val="none" w:color="000000" w:sz="4" w:space="0"/>
              <w:left w:val="single" w:color="000000" w:sz="4" w:space="0"/>
              <w:bottom w:val="none" w:color="000000"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none" w:color="000000"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vertAlign w:val="baseline"/>
                <w:lang w:val="en-US" w:eastAsia="zh-CN"/>
              </w:rPr>
              <w:t xml:space="preserve">公司核照医院的要求将各岗位人员配置齐全，符合相应的岗位要求，人员稳定性好，社保人员比例大于50%，待遇按照规定标准全额执行，每月人员流失率低于5%。</w:t>
            </w:r>
            <w:r>
              <w:rPr>
                <w:rFonts w:hint="eastAsia" w:ascii="宋体" w:hAnsi="宋体" w:eastAsia="宋体" w:cs="宋体"/>
                <w:i w:val="0"/>
                <w:iCs w:val="0"/>
                <w:color w:val="auto"/>
                <w:sz w:val="24"/>
                <w:szCs w:val="24"/>
                <w:highlight w:val="none"/>
                <w:u w:val="none"/>
                <w:lang w:val="en-US" w:eastAsia="zh-CN"/>
              </w:rPr>
              <w:t xml:space="preserve">共5分，一项不符合扣2分。</w:t>
            </w:r>
            <w:r/>
          </w:p>
        </w:tc>
        <w:tc>
          <w:tcPr>
            <w:shd w:val="clear" w:color="auto" w:fill="auto"/>
            <w:tcBorders>
              <w:top w:val="none" w:color="000000" w:sz="4" w:space="0"/>
              <w:left w:val="none" w:color="000000" w:sz="4" w:space="0"/>
              <w:bottom w:val="single" w:color="000000" w:sz="4" w:space="0"/>
              <w:right w:val="single" w:color="000000" w:sz="4" w:space="0"/>
            </w:tcBorders>
            <w:tcW w:w="663" w:type="dxa"/>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c>
          <w:tcPr>
            <w:shd w:val="clear" w:color="auto" w:fill="auto"/>
            <w:tcBorders>
              <w:top w:val="single" w:color="000000" w:sz="4" w:space="0"/>
              <w:left w:val="single" w:color="000000" w:sz="4" w:space="0"/>
              <w:bottom w:val="none" w:color="000000"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968"/>
        </w:trPr>
        <w:tc>
          <w:tcPr>
            <w:shd w:val="clear" w:color="auto" w:fill="auto"/>
            <w:tcBorders>
              <w:top w:val="none" w:color="000000" w:sz="4" w:space="0"/>
              <w:left w:val="single" w:color="000000"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none" w:color="000000"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u w:val="none"/>
                <w:vertAlign w:val="baseline"/>
                <w:lang w:val="en-US" w:eastAsia="zh-CN"/>
              </w:rPr>
              <w:t xml:space="preserve">管理规范，有完备可行的绩效考核体系，绩效考核要与项目质量直接挂钩，绩效考核结果要与团队和个人利益相对应，社保结余费用作为福利发放，方案</w:t>
            </w:r>
            <w:r>
              <w:rPr>
                <w:rFonts w:hint="eastAsia" w:ascii="宋体" w:hAnsi="宋体" w:cs="宋体"/>
                <w:color w:val="auto"/>
                <w:sz w:val="24"/>
                <w:szCs w:val="24"/>
                <w:highlight w:val="none"/>
                <w:u w:val="none"/>
                <w:vertAlign w:val="baseline"/>
                <w:lang w:val="en-US" w:eastAsia="zh-CN"/>
              </w:rPr>
              <w:t xml:space="preserve">由</w:t>
            </w:r>
            <w:r>
              <w:rPr>
                <w:rFonts w:hint="eastAsia" w:ascii="宋体" w:hAnsi="宋体" w:eastAsia="宋体" w:cs="宋体"/>
                <w:color w:val="auto"/>
                <w:sz w:val="24"/>
                <w:szCs w:val="24"/>
                <w:highlight w:val="none"/>
                <w:u w:val="none"/>
                <w:vertAlign w:val="baseline"/>
                <w:lang w:val="en-US" w:eastAsia="zh-CN"/>
              </w:rPr>
              <w:t xml:space="preserve">公司拟定，院方核定。共8分，未实施扣除。</w:t>
            </w:r>
            <w:r/>
          </w:p>
        </w:tc>
        <w:tc>
          <w:tcPr>
            <w:shd w:val="clear" w:color="auto" w:fill="auto"/>
            <w:tcBorders>
              <w:top w:val="none" w:color="000000" w:sz="4" w:space="0"/>
              <w:left w:val="none" w:color="000000" w:sz="4" w:space="0"/>
              <w:bottom w:val="single" w:color="auto" w:sz="4" w:space="0"/>
              <w:right w:val="single" w:color="000000"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302"/>
        </w:trPr>
        <w:tc>
          <w:tcPr>
            <w:shd w:val="clear" w:color="auto" w:fill="auto"/>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服务质量方面</w:t>
            </w:r>
            <w:r/>
          </w:p>
        </w:tc>
        <w:tc>
          <w:tcPr>
            <w:shd w:val="clear" w:color="auto" w:fill="auto"/>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33</w:t>
            </w:r>
            <w:r/>
          </w:p>
        </w:tc>
        <w:tc>
          <w:tcPr>
            <w:shd w:val="clear" w:color="auto" w:fill="auto"/>
            <w:tcBorders>
              <w:top w:val="single" w:color="auto" w:sz="4" w:space="0"/>
              <w:left w:val="single" w:color="auto" w:sz="4" w:space="0"/>
              <w:bottom w:val="single" w:color="auto" w:sz="4" w:space="0"/>
              <w:right w:val="single" w:color="auto"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人员必须在岗在位，在班时间不得干私活：无迟到、早退现象，无串岗、脱岗，不无故旷工。共3分，一次不符合扣1分。</w:t>
            </w:r>
            <w:r/>
          </w:p>
        </w:tc>
        <w:tc>
          <w:tcPr>
            <w:shd w:val="clear" w:color="auto" w:fill="auto"/>
            <w:tcBorders>
              <w:top w:val="single" w:color="auto" w:sz="4" w:space="0"/>
              <w:left w:val="single" w:color="auto" w:sz="4" w:space="0"/>
              <w:bottom w:val="single" w:color="auto" w:sz="4" w:space="0"/>
              <w:right w:val="single" w:color="auto" w:sz="4" w:space="0"/>
            </w:tcBorders>
            <w:tcW w:w="663" w:type="dxa"/>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37" w:type="dxa"/>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bottom"/>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r>
      <w:tr>
        <w:trPr>
          <w:jc w:val="center"/>
          <w:trHeight w:val="1005"/>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窗口服务人员须遵熟记务规范，热情、主动、周到、文明。共3分，一次不符合扣1分。</w:t>
            </w:r>
            <w:r/>
          </w:p>
        </w:tc>
        <w:tc>
          <w:tcPr>
            <w:shd w:val="clear" w:color="auto" w:fill="auto"/>
            <w:tcBorders>
              <w:top w:val="single" w:color="auto" w:sz="4" w:space="0"/>
              <w:left w:val="single" w:color="000000" w:sz="4" w:space="0"/>
              <w:bottom w:val="single" w:color="000000" w:sz="4" w:space="0"/>
              <w:right w:val="single" w:color="auto" w:sz="4" w:space="0"/>
            </w:tcBorders>
            <w:tcW w:w="663" w:type="dxa"/>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047"/>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无陪病人不得私自带出，必须有家属陪同，必要时有医护人员陪同，以防病人陪检途中出现意外。共3分，一次不符合扣2分。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437"/>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每日对负责区域进行清洁，不留卫生死角和盲区、保持室内外设施清洁，无显眼的痰迹、杂物、垃圾、灰尘等，共5分，一次不符合扣2分</w:t>
            </w:r>
            <w:r/>
          </w:p>
        </w:tc>
        <w:tc>
          <w:tcPr>
            <w:shd w:val="clear" w:color="auto" w:fill="auto"/>
            <w:tcBorders>
              <w:top w:val="single" w:color="000000" w:sz="4" w:space="0"/>
              <w:left w:val="single" w:color="000000" w:sz="4" w:space="0"/>
              <w:bottom w:val="single" w:color="000000" w:sz="4" w:space="0"/>
              <w:right w:val="single" w:color="auto"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437"/>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保洁工具及时清洗，保持垃圾桶、拖把等工具清洁无异味，保持污洗间清洁，共5分，一次不符合1分</w:t>
            </w:r>
            <w:r/>
          </w:p>
        </w:tc>
        <w:tc>
          <w:tcPr>
            <w:shd w:val="clear" w:color="auto" w:fill="auto"/>
            <w:tcBorders>
              <w:top w:val="single" w:color="000000" w:sz="4" w:space="0"/>
              <w:left w:val="single" w:color="000000" w:sz="4" w:space="0"/>
              <w:bottom w:val="single" w:color="000000" w:sz="4" w:space="0"/>
              <w:right w:val="single" w:color="auto"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69"/>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生活垃圾房及时清运，垃圾房内杂物，无蚊虫草生。共6分，一次不符合扣1分。</w:t>
            </w:r>
            <w:r/>
          </w:p>
        </w:tc>
        <w:tc>
          <w:tcPr>
            <w:shd w:val="clear" w:color="auto" w:fill="auto"/>
            <w:tcBorders>
              <w:top w:val="single" w:color="000000" w:sz="4" w:space="0"/>
              <w:left w:val="single" w:color="000000" w:sz="4" w:space="0"/>
              <w:bottom w:val="single" w:color="000000" w:sz="4" w:space="0"/>
              <w:right w:val="single" w:color="auto"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969"/>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医疗垃圾及时清运，暂存点保持干净，消毒到位。共2分，一次不符合扣2分。</w:t>
            </w:r>
            <w:r/>
          </w:p>
        </w:tc>
        <w:tc>
          <w:tcPr>
            <w:shd w:val="clear" w:color="auto" w:fill="auto"/>
            <w:tcBorders>
              <w:top w:val="single" w:color="000000" w:sz="4" w:space="0"/>
              <w:left w:val="single" w:color="000000" w:sz="4" w:space="0"/>
              <w:right w:val="single" w:color="auto" w:sz="4" w:space="0"/>
            </w:tcBorders>
            <w:tcW w:w="663" w:type="dxa"/>
            <w:vMerge w:val="restart"/>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185"/>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员工仪容仪表整洁规范，统一工服，佩戴工牌，保持工装卫生整洁；共2分，一次不符合扣1分。</w:t>
            </w:r>
            <w:r/>
          </w:p>
        </w:tc>
        <w:tc>
          <w:tcPr>
            <w:shd w:val="clear" w:color="auto" w:fill="auto"/>
            <w:tcBorders>
              <w:left w:val="single" w:color="000000" w:sz="4" w:space="0"/>
              <w:right w:val="single" w:color="auto" w:sz="4" w:space="0"/>
            </w:tcBorders>
            <w:tcW w:w="663" w:type="dxa"/>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jc w:val="center"/>
          <w:trHeight w:val="969"/>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000000" w:sz="4" w:space="0"/>
              <w:left w:val="single" w:color="auto"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病人和临床工作需要服务及时到位，无上访和投诉。共4分，经核实一次不符合扣2分。</w:t>
            </w:r>
            <w:r/>
          </w:p>
        </w:tc>
        <w:tc>
          <w:tcPr>
            <w:shd w:val="clear" w:color="auto" w:fill="auto"/>
            <w:tcBorders>
              <w:left w:val="single" w:color="000000" w:sz="4" w:space="0"/>
              <w:bottom w:val="none" w:color="000000" w:sz="4" w:space="0"/>
              <w:right w:val="single" w:color="auto" w:sz="4" w:space="0"/>
            </w:tcBorders>
            <w:tcW w:w="663" w:type="dxa"/>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jc w:val="center"/>
          <w:trHeight w:val="809"/>
        </w:trPr>
        <w:tc>
          <w:tcPr>
            <w:shd w:val="clear" w:color="auto" w:fill="auto"/>
            <w:tcBorders>
              <w:top w:val="single" w:color="auto" w:sz="4" w:space="0"/>
              <w:left w:val="single" w:color="000000" w:sz="4" w:space="0"/>
              <w:bottom w:val="single" w:color="auto" w:sz="4" w:space="0"/>
              <w:right w:val="single" w:color="000000" w:sz="4" w:space="0"/>
            </w:tcBorders>
            <w:tcW w:w="74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规章制度方面</w:t>
            </w:r>
            <w:r/>
          </w:p>
        </w:tc>
        <w:tc>
          <w:tcPr>
            <w:shd w:val="clear" w:color="auto" w:fill="auto"/>
            <w:tcBorders>
              <w:top w:val="single" w:color="auto" w:sz="4" w:space="0"/>
              <w:left w:val="single" w:color="000000" w:sz="4" w:space="0"/>
              <w:bottom w:val="single" w:color="auto" w:sz="4" w:space="0"/>
              <w:right w:val="single" w:color="000000" w:sz="4" w:space="0"/>
            </w:tcBorders>
            <w:tcW w:w="791"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有完善的规章制度、岗位职责及工作流程，并上墙。共3分，一项不符合扣1分。</w:t>
            </w:r>
            <w:r/>
          </w:p>
        </w:tc>
        <w:tc>
          <w:tcPr>
            <w:shd w:val="clear" w:color="auto" w:fill="auto"/>
            <w:tcBorders>
              <w:top w:val="single" w:color="000000" w:sz="4" w:space="0"/>
              <w:left w:val="single" w:color="000000" w:sz="4" w:space="0"/>
              <w:bottom w:val="single" w:color="000000" w:sz="4" w:space="0"/>
              <w:right w:val="single" w:color="auto"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r>
      <w:tr>
        <w:trPr>
          <w:jc w:val="center"/>
          <w:trHeight w:val="844"/>
        </w:trPr>
        <w:tc>
          <w:tcPr>
            <w:shd w:val="clear" w:color="auto" w:fill="auto"/>
            <w:tcBorders>
              <w:top w:val="single" w:color="auto" w:sz="4" w:space="0"/>
              <w:left w:val="single" w:color="000000"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相关人员熟悉岗位、规章制度，并定期进行抽查，共6分，一次不符合扣2分。</w:t>
            </w:r>
            <w:r/>
          </w:p>
        </w:tc>
        <w:tc>
          <w:tcPr>
            <w:shd w:val="clear" w:color="auto" w:fill="auto"/>
            <w:tcBorders>
              <w:top w:val="none" w:color="000000" w:sz="4" w:space="0"/>
              <w:left w:val="single" w:color="000000" w:sz="4" w:space="0"/>
              <w:bottom w:val="single" w:color="000000" w:sz="4" w:space="0"/>
              <w:right w:val="single" w:color="auto"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59"/>
        </w:trPr>
        <w:tc>
          <w:tcPr>
            <w:shd w:val="clear" w:color="auto" w:fill="auto"/>
            <w:tcBorders>
              <w:top w:val="single" w:color="auto" w:sz="4" w:space="0"/>
              <w:left w:val="single" w:color="000000"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建立人员目录、资产目录，并定期组织检查更新。共4分，一项不符合扣2分。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76"/>
        </w:trPr>
        <w:tc>
          <w:tcPr>
            <w:shd w:val="clear" w:color="auto" w:fill="auto"/>
            <w:tcBorders>
              <w:top w:val="single" w:color="auto" w:sz="4" w:space="0"/>
              <w:left w:val="single" w:color="000000"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有完善的检查制度</w:t>
            </w:r>
            <w:r>
              <w:rPr>
                <w:rFonts w:hint="eastAsia" w:ascii="宋体" w:hAnsi="宋体" w:eastAsia="宋体" w:cs="宋体"/>
                <w:color w:val="auto"/>
                <w:sz w:val="24"/>
                <w:szCs w:val="24"/>
                <w:highlight w:val="none"/>
              </w:rPr>
              <w:t xml:space="preserve">工作记录、合同、培训档案等</w:t>
            </w:r>
            <w:r>
              <w:rPr>
                <w:rFonts w:hint="eastAsia" w:ascii="宋体" w:hAnsi="宋体" w:eastAsia="宋体" w:cs="宋体"/>
                <w:i w:val="0"/>
                <w:iCs w:val="0"/>
                <w:color w:val="auto"/>
                <w:sz w:val="24"/>
                <w:szCs w:val="24"/>
                <w:highlight w:val="none"/>
                <w:u w:val="none"/>
                <w:lang w:val="en-US" w:eastAsia="zh-CN"/>
              </w:rPr>
              <w:t xml:space="preserve">，有定期组织日、周、月度检查的计划，并做好整改工作。台账规范，共6分，一项不符合扣2分。</w:t>
            </w:r>
            <w:r/>
          </w:p>
        </w:tc>
        <w:tc>
          <w:tcPr>
            <w:shd w:val="clear" w:color="auto" w:fill="auto"/>
            <w:tcBorders>
              <w:top w:val="single" w:color="000000" w:sz="4" w:space="0"/>
              <w:left w:val="single" w:color="000000" w:sz="4" w:space="0"/>
              <w:bottom w:val="single" w:color="000000" w:sz="4" w:space="0"/>
              <w:right w:val="single" w:color="auto"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72"/>
        </w:trPr>
        <w:tc>
          <w:tcPr>
            <w:shd w:val="clear" w:color="auto" w:fill="auto"/>
            <w:tcBorders>
              <w:top w:val="single" w:color="auto" w:sz="4" w:space="0"/>
              <w:left w:val="single" w:color="000000"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000000"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有完善的例会制度，有定期召开例会的计划并实施。共6分，一次不符合扣2分。</w:t>
            </w:r>
            <w:r/>
          </w:p>
        </w:tc>
        <w:tc>
          <w:tcPr>
            <w:shd w:val="clear" w:color="auto" w:fill="auto"/>
            <w:tcBorders>
              <w:top w:val="single" w:color="000000" w:sz="4" w:space="0"/>
              <w:left w:val="single" w:color="000000" w:sz="4" w:space="0"/>
              <w:bottom w:val="single" w:color="auto" w:sz="4" w:space="0"/>
              <w:right w:val="single" w:color="auto" w:sz="4" w:space="0"/>
            </w:tcBorders>
            <w:tcW w:w="663"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000000"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473"/>
        </w:trPr>
        <w:tc>
          <w:tcPr>
            <w:shd w:val="clear" w:color="auto" w:fill="auto"/>
            <w:tcBorders>
              <w:top w:val="single" w:color="auto" w:sz="4" w:space="0"/>
              <w:left w:val="single" w:color="auto" w:sz="4" w:space="0"/>
              <w:bottom w:val="single" w:color="auto" w:sz="4" w:space="0"/>
              <w:right w:val="single" w:color="auto" w:sz="4" w:space="0"/>
            </w:tcBorders>
            <w:tcW w:w="742"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安全生产管理方面</w:t>
            </w:r>
            <w:r/>
          </w:p>
        </w:tc>
        <w:tc>
          <w:tcPr>
            <w:shd w:val="clear" w:color="auto" w:fill="auto"/>
            <w:tcBorders>
              <w:top w:val="single" w:color="auto" w:sz="4" w:space="0"/>
              <w:left w:val="single" w:color="auto" w:sz="4" w:space="0"/>
              <w:bottom w:val="single" w:color="auto" w:sz="4" w:space="0"/>
              <w:right w:val="single" w:color="auto" w:sz="4" w:space="0"/>
            </w:tcBorders>
            <w:tcW w:w="791"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建立安全管理制度、安全管理流程和监督机制，要求制度上墙。共2分，一项不符合扣1分。</w:t>
            </w:r>
            <w:r/>
          </w:p>
        </w:tc>
        <w:tc>
          <w:tcPr>
            <w:shd w:val="clear" w:color="auto" w:fill="auto"/>
            <w:tcBorders>
              <w:top w:val="single" w:color="auto" w:sz="4" w:space="0"/>
              <w:left w:val="single" w:color="auto" w:sz="4" w:space="0"/>
              <w:bottom w:val="single" w:color="auto" w:sz="4" w:space="0"/>
              <w:right w:val="single" w:color="auto" w:sz="4" w:space="0"/>
            </w:tcBorders>
            <w:tcW w:w="663" w:type="dxa"/>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637" w:type="dxa"/>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bottom"/>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　</w:t>
            </w:r>
            <w:r/>
          </w:p>
        </w:tc>
      </w:tr>
      <w:tr>
        <w:trPr>
          <w:jc w:val="center"/>
          <w:trHeight w:val="781"/>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室外、高空作业具备防护设备。不符合标准扣4分。</w:t>
            </w:r>
            <w:r/>
          </w:p>
        </w:tc>
        <w:tc>
          <w:tcPr>
            <w:shd w:val="clear" w:color="auto" w:fill="auto"/>
            <w:tcBorders>
              <w:top w:val="single" w:color="auto" w:sz="4" w:space="0"/>
              <w:left w:val="single" w:color="auto" w:sz="4" w:space="0"/>
              <w:bottom w:val="single" w:color="auto" w:sz="4" w:space="0"/>
              <w:right w:val="single" w:color="auto"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72"/>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相关人员安全管理制度，并定期进行抽查，共4分，一次不符合扣2分。</w:t>
            </w:r>
            <w:r/>
          </w:p>
        </w:tc>
        <w:tc>
          <w:tcPr>
            <w:shd w:val="clear" w:color="auto" w:fill="auto"/>
            <w:tcBorders>
              <w:top w:val="single" w:color="auto" w:sz="4" w:space="0"/>
              <w:left w:val="single" w:color="auto" w:sz="4" w:space="0"/>
              <w:bottom w:val="single" w:color="auto" w:sz="4" w:space="0"/>
              <w:right w:val="single" w:color="auto"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19"/>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non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每月召开安全会议，做好会议纪要。不符合标准扣2分。</w:t>
            </w:r>
            <w:r/>
          </w:p>
        </w:tc>
        <w:tc>
          <w:tcPr>
            <w:shd w:val="clear" w:color="auto" w:fill="auto"/>
            <w:tcBorders>
              <w:top w:val="single" w:color="auto" w:sz="4" w:space="0"/>
              <w:left w:val="single" w:color="000000" w:sz="4" w:space="0"/>
              <w:bottom w:val="single" w:color="000000" w:sz="4" w:space="0"/>
              <w:right w:val="single" w:color="000000"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94"/>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auto" w:sz="4" w:space="0"/>
              <w:bottom w:val="non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每月进行安全培训，做好培训记录和总结。不符合标准扣2分。</w:t>
            </w:r>
            <w:r/>
          </w:p>
        </w:tc>
        <w:tc>
          <w:tcPr>
            <w:shd w:val="clear" w:color="auto" w:fill="auto"/>
            <w:tcBorders>
              <w:top w:val="single" w:color="000000" w:sz="4" w:space="0"/>
              <w:left w:val="single" w:color="000000" w:sz="4" w:space="0"/>
              <w:bottom w:val="single" w:color="000000" w:sz="4" w:space="0"/>
              <w:right w:val="single" w:color="000000"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869"/>
        </w:trPr>
        <w:tc>
          <w:tcPr>
            <w:shd w:val="clear" w:color="auto" w:fill="auto"/>
            <w:tcBorders>
              <w:top w:val="single" w:color="auto" w:sz="4" w:space="0"/>
              <w:left w:val="single" w:color="auto" w:sz="4" w:space="0"/>
              <w:bottom w:val="single" w:color="auto" w:sz="4" w:space="0"/>
              <w:right w:val="single" w:color="000000" w:sz="4" w:space="0"/>
            </w:tcBorders>
            <w:tcW w:w="742"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91"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auto" w:sz="4" w:space="0"/>
              <w:bottom w:val="none" w:color="000000" w:sz="4" w:space="0"/>
              <w:right w:val="single" w:color="000000" w:sz="4" w:space="0"/>
            </w:tcBorders>
            <w:tcW w:w="5095"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定期进行安全隐患的接查与整改，并做好持续改进。共6分，一次不符合扣2分。</w:t>
            </w:r>
            <w:r/>
          </w:p>
        </w:tc>
        <w:tc>
          <w:tcPr>
            <w:shd w:val="clear" w:color="auto" w:fill="auto"/>
            <w:tcBorders>
              <w:top w:val="single" w:color="000000" w:sz="4" w:space="0"/>
              <w:left w:val="single" w:color="000000" w:sz="4" w:space="0"/>
              <w:bottom w:val="single" w:color="000000" w:sz="4" w:space="0"/>
              <w:right w:val="single" w:color="000000" w:sz="4" w:space="0"/>
            </w:tcBorders>
            <w:tcW w:w="663" w:type="dxa"/>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637" w:type="dxa"/>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787"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623"/>
        </w:trPr>
        <w:tc>
          <w:tcPr>
            <w:gridSpan w:val="4"/>
            <w:shd w:val="clear" w:color="auto" w:fill="auto"/>
            <w:tcBorders>
              <w:top w:val="single" w:color="000000" w:sz="4" w:space="0"/>
              <w:left w:val="single" w:color="000000" w:sz="4" w:space="0"/>
              <w:bottom w:val="single" w:color="000000" w:sz="4" w:space="0"/>
              <w:right w:val="single" w:color="000000" w:sz="4" w:space="0"/>
            </w:tcBorders>
            <w:tcW w:w="7291" w:type="dxa"/>
            <w:vAlign w:val="center"/>
            <w:textDirection w:val="lrTb"/>
            <w:noWrap w:val="false"/>
          </w:tcPr>
          <w:p>
            <w:pPr>
              <w:ind w:firstLine="0"/>
              <w:jc w:val="left"/>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注：季度考核综合得分＜90分的，将终止合同，并处以5%合同价的处罚。考核周期为</w:t>
            </w:r>
            <w:r>
              <w:rPr>
                <w:rFonts w:hint="eastAsia" w:ascii="宋体" w:hAnsi="宋体" w:eastAsia="宋体" w:cs="宋体"/>
                <w:i w:val="0"/>
                <w:iCs w:val="0"/>
                <w:color w:val="auto"/>
                <w:sz w:val="24"/>
                <w:szCs w:val="24"/>
                <w:highlight w:val="none"/>
                <w:u w:val="none"/>
                <w:lang w:val="en-US" w:eastAsia="en-US"/>
              </w:rPr>
              <w:t xml:space="preserve">季度与年度考核重复时只做年度考核</w:t>
            </w:r>
            <w:r>
              <w:rPr>
                <w:rFonts w:hint="eastAsia" w:ascii="宋体" w:hAnsi="宋体" w:eastAsia="宋体" w:cs="宋体"/>
                <w:i w:val="0"/>
                <w:iCs w:val="0"/>
                <w:color w:val="auto"/>
                <w:sz w:val="24"/>
                <w:szCs w:val="24"/>
                <w:highlight w:val="none"/>
                <w:u w:val="none"/>
                <w:lang w:val="en-US" w:eastAsia="zh-CN"/>
              </w:rPr>
              <w:t xml:space="preserve">，年度考核分为季度考核平均分。考核综合得分为</w:t>
            </w:r>
            <w:r>
              <w:rPr>
                <w:rFonts w:hint="eastAsia" w:ascii="宋体" w:hAnsi="宋体" w:eastAsia="宋体" w:cs="宋体"/>
                <w:i w:val="0"/>
                <w:iCs w:val="0"/>
                <w:color w:val="auto"/>
                <w:sz w:val="24"/>
                <w:szCs w:val="24"/>
                <w:highlight w:val="none"/>
                <w:u w:val="none"/>
                <w:lang w:val="en-US" w:eastAsia="en-US"/>
              </w:rPr>
              <w:t xml:space="preserve">科室考核</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en-US"/>
              </w:rPr>
              <w:t xml:space="preserve">院内测评</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合    计</w:t>
            </w:r>
            <w:r/>
          </w:p>
        </w:tc>
        <w:tc>
          <w:tcPr>
            <w:gridSpan w:val="2"/>
            <w:shd w:val="clear" w:color="auto" w:fill="auto"/>
            <w:tcBorders>
              <w:top w:val="single" w:color="auto"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keepLines w:val="0"/>
        <w:keepNext w:val="0"/>
        <w:pageBreakBefore w:val="0"/>
        <w:spacing w:line="360" w:lineRule="exact"/>
        <w:widowControl w:val="off"/>
        <w:rPr>
          <w:rFonts w:hint="eastAsia" w:ascii="宋体" w:hAnsi="宋体" w:eastAsia="宋体" w:cs="宋体"/>
          <w:b/>
          <w:bCs/>
          <w:i w:val="0"/>
          <w:iCs w:val="0"/>
          <w:color w:val="auto"/>
          <w:sz w:val="28"/>
          <w:szCs w:val="28"/>
          <w:highlight w:val="none"/>
          <w:u w:val="none"/>
          <w:lang w:val="en-US" w:eastAsia="zh-CN" w:bidi="ar-SA"/>
        </w:rPr>
      </w:pPr>
      <w:r>
        <w:rPr>
          <w:rFonts w:hint="eastAsia" w:ascii="宋体" w:hAnsi="宋体" w:eastAsia="宋体" w:cs="宋体"/>
          <w:b/>
          <w:bCs/>
          <w:i w:val="0"/>
          <w:iCs w:val="0"/>
          <w:color w:val="auto"/>
          <w:sz w:val="28"/>
          <w:szCs w:val="28"/>
          <w:highlight w:val="none"/>
          <w:u w:val="none"/>
          <w:lang w:val="en-US" w:eastAsia="zh-CN" w:bidi="ar-SA"/>
        </w:rPr>
        <w:t xml:space="preserve">盐城市第一人民医院外包人员行为规范及考核细则（试行）</w:t>
      </w:r>
      <w:r/>
    </w:p>
    <w:p>
      <w:pPr>
        <w:jc w:val="center"/>
        <w:keepLines w:val="0"/>
        <w:keepNext w:val="0"/>
        <w:pageBreakBefore w:val="0"/>
        <w:spacing w:line="260" w:lineRule="exact"/>
        <w:widowControl w:val="off"/>
        <w:rPr>
          <w:rFonts w:hint="eastAsia" w:ascii="宋体" w:hAnsi="宋体" w:eastAsia="宋体" w:cs="宋体"/>
          <w:b/>
          <w:bCs/>
          <w:i w:val="0"/>
          <w:iCs w:val="0"/>
          <w:color w:val="auto"/>
          <w:sz w:val="28"/>
          <w:szCs w:val="28"/>
          <w:highlight w:val="none"/>
          <w:u w:val="none"/>
          <w:lang w:val="en-US" w:eastAsia="zh-CN" w:bidi="ar-SA"/>
        </w:rPr>
      </w:pPr>
      <w:r>
        <w:rPr>
          <w:rFonts w:hint="eastAsia" w:ascii="宋体" w:hAnsi="宋体" w:eastAsia="宋体" w:cs="宋体"/>
          <w:b/>
          <w:bCs/>
          <w:i w:val="0"/>
          <w:iCs w:val="0"/>
          <w:color w:val="auto"/>
          <w:sz w:val="28"/>
          <w:szCs w:val="28"/>
          <w:highlight w:val="none"/>
          <w:u w:val="none"/>
          <w:lang w:val="en-US" w:eastAsia="zh-CN" w:bidi="ar-SA"/>
        </w:rPr>
      </w:r>
      <w:r/>
    </w:p>
    <w:tbl>
      <w:tblPr>
        <w:tblStyle w:val="782"/>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64"/>
        <w:gridCol w:w="1875"/>
        <w:gridCol w:w="6100"/>
      </w:tblGrid>
      <w:tr>
        <w:trPr>
          <w:jc w:val="center"/>
          <w:trHeight w:val="562"/>
        </w:trPr>
        <w:tc>
          <w:tcPr>
            <w:tcW w:w="106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名称</w:t>
            </w:r>
            <w:r/>
          </w:p>
        </w:tc>
        <w:tc>
          <w:tcPr>
            <w:tcW w:w="18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行为规范</w:t>
            </w:r>
            <w:r/>
          </w:p>
        </w:tc>
        <w:tc>
          <w:tcPr>
            <w:tcW w:w="610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highlight w:val="none"/>
                <w:u w:val="none"/>
                <w:lang w:val="en-US" w:eastAsia="zh-CN"/>
              </w:rPr>
              <w:suppressLineNumbers w:val="0"/>
            </w:pPr>
            <w:r>
              <w:rPr>
                <w:rFonts w:hint="eastAsia" w:ascii="宋体" w:hAnsi="宋体" w:eastAsia="宋体" w:cs="宋体"/>
                <w:b/>
                <w:bCs/>
                <w:i w:val="0"/>
                <w:iCs w:val="0"/>
                <w:color w:val="auto"/>
                <w:sz w:val="24"/>
                <w:szCs w:val="24"/>
                <w:highlight w:val="none"/>
                <w:u w:val="none"/>
                <w:lang w:val="en-US" w:eastAsia="zh-CN"/>
              </w:rPr>
              <w:t xml:space="preserve">考核细则</w:t>
            </w:r>
            <w:r/>
          </w:p>
        </w:tc>
      </w:tr>
      <w:tr>
        <w:trPr>
          <w:jc w:val="center"/>
          <w:trHeight w:val="3582"/>
        </w:trPr>
        <w:tc>
          <w:tcPr>
            <w:tcW w:w="106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工</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作</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质</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量</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任</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务</w:t>
            </w:r>
            <w:r/>
          </w:p>
        </w:tc>
        <w:tc>
          <w:tcPr>
            <w:tcW w:w="18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1、熟悉本职业务，工作积极，责任心强；</w:t>
            </w:r>
            <w:r/>
          </w:p>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2、认真履行岗位职责，严格遵照工作程序，圆满完成工作任务。</w:t>
            </w:r>
            <w:r/>
          </w:p>
        </w:tc>
        <w:tc>
          <w:tcPr>
            <w:tcW w:w="6100"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①工作责任心不强，发生责任差错并造成严重后果的，作解除劳动合同处理；</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②因直接责任事故造成公共财产或他人财产损失的，需做出赔偿，并作相应罚金；</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③不服从工作分配和调动指挥，无理取闹影响工作和社会秩序的，经批评教育无效的，视为严重违反规章制度，作解除劳动合同处理；</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④凡发现主管人员在考勤考核中弄虚作假，主管及考勤员</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当月不得享受考核奖。</w:t>
            </w:r>
            <w:r/>
          </w:p>
        </w:tc>
      </w:tr>
      <w:tr>
        <w:trPr>
          <w:jc w:val="center"/>
          <w:trHeight w:val="4296"/>
        </w:trPr>
        <w:tc>
          <w:tcPr>
            <w:tcW w:w="106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劳</w:t>
            </w:r>
            <w:r/>
          </w:p>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动</w:t>
            </w:r>
            <w:r/>
          </w:p>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纪</w:t>
            </w:r>
            <w:r/>
          </w:p>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律</w:t>
            </w:r>
            <w:r/>
          </w:p>
        </w:tc>
        <w:tc>
          <w:tcPr>
            <w:tcW w:w="18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1、遵守医院的规章制度和劳动纪律；团结协作；</w:t>
            </w:r>
            <w:r/>
          </w:p>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2、按时上下班，做好交接班，不迟到，不早退，不擅离岗位，不串岗、不干私活。</w:t>
            </w:r>
            <w:r/>
          </w:p>
        </w:tc>
        <w:tc>
          <w:tcPr>
            <w:tcW w:w="6100" w:type="dxa"/>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①每月迟到、早退、溜班、串岗一次警告处分，当月不得享受考核奖；两次严重警告处分，不得享受考核奖且扣发工龄工资；三次视为严重违反劳动纪律，作解除劳动合同处理。</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②无故旷工一天扣发当月工龄工资，旷工一天半扣发工龄工资且不得享受考核奖，连续旷工两天（含两天）以上者，视为严重违反劳动纪律，作解除劳动合同处理：</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③工作时间做私活（买菜、洗衣服、干私活、玩游戏等），未经同意擅自调班一经发现，均按旷工一天处理；</w:t>
            </w:r>
            <w:r/>
          </w:p>
          <w:p>
            <w:pPr>
              <w:ind w:firstLine="480"/>
              <w:jc w:val="left"/>
              <w:keepLines w:val="0"/>
              <w:keepNext w:val="0"/>
              <w:pageBreakBefore w:val="0"/>
              <w:spacing w:line="360" w:lineRule="exact"/>
              <w:widowControl/>
              <w:rPr>
                <w:rFonts w:hint="eastAsia" w:ascii="宋体" w:hAnsi="宋体" w:eastAsia="宋体" w:cs="宋体"/>
                <w:color w:val="auto"/>
                <w:sz w:val="22"/>
                <w:szCs w:val="22"/>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④破坏团结，闹无原则纠纷、争吵、打架或无中生有诬陷诽谤他人，经批评教育无效的，视为严重违反劳动纪律，作解除劳动合同处理。</w:t>
            </w:r>
            <w:r/>
          </w:p>
        </w:tc>
      </w:tr>
      <w:tr>
        <w:trPr>
          <w:jc w:val="center"/>
          <w:trHeight w:val="4663"/>
        </w:trPr>
        <w:tc>
          <w:tcPr>
            <w:tcW w:w="106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文</w:t>
            </w:r>
            <w:r/>
          </w:p>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明</w:t>
            </w:r>
            <w:r/>
          </w:p>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服</w:t>
            </w:r>
            <w:r/>
          </w:p>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务</w:t>
            </w:r>
            <w:r/>
          </w:p>
        </w:tc>
        <w:tc>
          <w:tcPr>
            <w:tcW w:w="1875" w:type="dxa"/>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1、文明服务，礼貌待患，杜绝生、冷、硬、顶现象；</w:t>
            </w:r>
            <w:r/>
          </w:p>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2、上岗工作要着装整齐，佩戴胸牌，仪表庄重；</w:t>
            </w:r>
            <w:r/>
          </w:p>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3、不接受病人的钱物，杜绝以医谋私、吃、拿、卡、要、索贿受贿行为。</w:t>
            </w:r>
            <w:r/>
          </w:p>
        </w:tc>
        <w:tc>
          <w:tcPr>
            <w:tcW w:w="6100" w:type="dxa"/>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①凡对病人服务态度不好，与病人发生争吵、打架的，视为严重违反劳动纪律，作解除劳动合同处理；</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②上班时间必须服装整洁、挂牌上岗，文明服务；</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③对暗示、索要或变相索要病人钱物，向病人推销物品从中获利的，一经查实，没收全部所得，并扣发工龄工资且不得享受考核奖，经批评教育无效的，视为严重违反劳动纪律，作解除劳动合同处理；</w:t>
            </w:r>
            <w:r/>
          </w:p>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④玩忽职守，工作不负责任，浪费材料和能源，造成经济损失的，视为严重违反劳动纪律，需赔偿全部损失，作解除劳动合同处理；</w:t>
            </w:r>
            <w:r/>
          </w:p>
          <w:p>
            <w:pPr>
              <w:ind w:firstLine="480"/>
              <w:jc w:val="left"/>
              <w:keepLines w:val="0"/>
              <w:keepNext w:val="0"/>
              <w:pageBreakBefore w:val="0"/>
              <w:spacing w:line="360" w:lineRule="exact"/>
              <w:widowControl/>
              <w:rPr>
                <w:rFonts w:hint="eastAsia" w:ascii="宋体" w:hAnsi="宋体" w:eastAsia="宋体" w:cs="宋体"/>
                <w:color w:val="auto"/>
                <w:sz w:val="22"/>
                <w:szCs w:val="22"/>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⑤私自变卖医院设备、医疗废物等情节严重的，一经查实，视为严重违反劳动纪律，作解除劳动合同处理，并追究刑事责任。</w:t>
            </w:r>
            <w:r/>
          </w:p>
        </w:tc>
      </w:tr>
    </w:tbl>
    <w:p>
      <w:pPr>
        <w:pStyle w:val="785"/>
        <w:jc w:val="lef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782"/>
        <w:tblW w:w="872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0" w:type="dxa"/>
          <w:top w:w="0" w:type="dxa"/>
          <w:right w:w="0" w:type="dxa"/>
          <w:bottom w:w="0" w:type="dxa"/>
        </w:tblCellMar>
        <w:tblLook w:val="04A0" w:firstRow="1" w:lastRow="0" w:firstColumn="1" w:lastColumn="0" w:noHBand="0" w:noVBand="1"/>
      </w:tblPr>
      <w:tblGrid>
        <w:gridCol w:w="834"/>
        <w:gridCol w:w="623"/>
        <w:gridCol w:w="5133"/>
        <w:gridCol w:w="715"/>
        <w:gridCol w:w="626"/>
        <w:gridCol w:w="789"/>
      </w:tblGrid>
      <w:tr>
        <w:trPr>
          <w:trHeight w:val="9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720" w:type="dxa"/>
            <w:vAlign w:val="center"/>
            <w:textDirection w:val="lrTb"/>
            <w:noWrap w:val="false"/>
          </w:tcPr>
          <w:p>
            <w:pPr>
              <w:pStyle w:val="785"/>
              <w:jc w:val="center"/>
              <w:keepLines w:val="0"/>
              <w:keepNext w:val="0"/>
              <w:pageBreakBefore w:val="0"/>
              <w:spacing w:line="360" w:lineRule="exact"/>
              <w:rPr>
                <w:rFonts w:hint="eastAsia" w:ascii="宋体" w:hAnsi="宋体" w:eastAsia="宋体" w:cs="宋体"/>
                <w:b/>
                <w:color w:val="auto"/>
                <w:sz w:val="32"/>
                <w:szCs w:val="32"/>
                <w:highlight w:val="none"/>
              </w:rPr>
            </w:pPr>
            <w:r>
              <w:rPr>
                <w:rFonts w:hint="eastAsia" w:ascii="宋体" w:hAnsi="宋体" w:eastAsia="宋体" w:cs="宋体"/>
                <w:b/>
                <w:bCs/>
                <w:i w:val="0"/>
                <w:iCs w:val="0"/>
                <w:color w:val="auto"/>
                <w:sz w:val="28"/>
                <w:szCs w:val="28"/>
                <w:highlight w:val="none"/>
                <w:u w:val="none"/>
                <w:lang w:val="en-US" w:eastAsia="zh-CN" w:bidi="ar-SA"/>
              </w:rPr>
              <w:t xml:space="preserve">陪检配送（含医疗垃圾房）服务考核细则</w:t>
            </w:r>
            <w:r/>
          </w:p>
        </w:tc>
      </w:tr>
      <w:tr>
        <w:trPr>
          <w:trHeight w:val="447"/>
        </w:trPr>
        <w:tc>
          <w:tcPr>
            <w:gridSpan w:val="6"/>
            <w:tcBorders>
              <w:top w:val="none" w:color="000000" w:sz="4" w:space="0"/>
              <w:left w:val="none" w:color="000000" w:sz="4" w:space="0"/>
              <w:bottom w:val="single" w:color="000000" w:sz="4" w:space="0"/>
              <w:right w:val="none" w:color="000000" w:sz="4" w:space="0"/>
            </w:tcBorders>
            <w:tcMar>
              <w:left w:w="15" w:type="dxa"/>
              <w:top w:w="15" w:type="dxa"/>
              <w:right w:w="15" w:type="dxa"/>
            </w:tcMar>
            <w:tcW w:w="8720" w:type="dxa"/>
            <w:vAlign w:val="center"/>
            <w:textDirection w:val="lrTb"/>
            <w:noWrap w:val="false"/>
          </w:tcPr>
          <w:p>
            <w:pPr>
              <w:jc w:val="right"/>
              <w:keepLines w:val="0"/>
              <w:keepNext w:val="0"/>
              <w:pageBreakBefore w:val="0"/>
              <w:spacing w:line="36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考核时间：   年   月   日</w:t>
            </w:r>
            <w:r/>
          </w:p>
        </w:tc>
      </w:tr>
      <w:tr>
        <w:trPr>
          <w:trHeight w:val="5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vMerge w:val="restart"/>
            <w:textDirection w:val="lrTb"/>
            <w:noWrap w:val="false"/>
          </w:tcPr>
          <w:p>
            <w:pPr>
              <w:ind w:left="-619" w:firstLine="618"/>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检查中</w:t>
            </w:r>
            <w:r/>
          </w:p>
          <w:p>
            <w:pPr>
              <w:ind w:left="-619" w:firstLine="618"/>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存在</w:t>
            </w:r>
            <w:r/>
          </w:p>
          <w:p>
            <w:pPr>
              <w:ind w:left="-619" w:firstLine="618"/>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问题</w:t>
            </w:r>
            <w:r/>
          </w:p>
        </w:tc>
      </w:tr>
      <w:tr>
        <w:trPr>
          <w:trHeight w:val="5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47"/>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83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仪容仪表服务态度</w:t>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623"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仪容仪表规范，面容整洁、统着工服，佩戴工作牌，保持工装卫生整洁；共5分，一次不符合扣1分。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6" w:type="dxa"/>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89" w:type="dxa"/>
            <w:vAlign w:val="bottom"/>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47"/>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无长甲、不留胡须、不披长发，不穿响底鞋。共5分，一次不符合扣1分。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non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不得与病人及家属、医生、护士等工作人员发生口角。病人和临床工作需要服务及时到位，无上访和投诉。共6分，一次不符合扣2分。</w:t>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服务质量方面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人员必须在岗在位，在班时间不得干私活：无迟到、早退现象，无串岗、脱岗，不无故旷工。共5分，一次不符合扣1分。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6" w:type="dxa"/>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89" w:type="dxa"/>
            <w:vAlign w:val="bottom"/>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接到通知后5～10分钟到达病房床头，陪检前确认病人情况，不得出现差错。共6分，一次不符合扣2分。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无陪病人不得私自带出，必须有家属陪同，必要时有医护人员陪同，以防病人陪检途中出现意外。共6分，一次不符合扣2分。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配送前检查标本、药品外观是否完好、核对信息是否无误，如有问题要立即汇报，不得出现差错。共6分，一次不符合扣2分。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各种单据、药品、标本、必须及时准确送达，不得送错送漏，耽误病人治疗时间；下送物资要热情负责，不得发错发漏。共9分，一次不符合扣3分。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下收送人员运送物品时注意保护医院公共设施，卸货要轻拿轻放，发现野蛮运送一次扣3分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医疗垃圾及时清运，清洁无杂物。共4分，一次不符合扣1分。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规章制度方面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有完善的规章制度、岗位职责及工作流程，并上墙。共3分，医疗垃圾及非医疗垃圾收集与处置需符合规范要求；一项不符合扣1分。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26"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89" w:type="dxa"/>
            <w:vAlign w:val="bottom"/>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相关人员熟悉岗位、规章制度，并定期进行抽查，共6分，一次不符合扣2分。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Mar>
              <w:left w:w="15" w:type="dxa"/>
              <w:top w:w="15" w:type="dxa"/>
              <w:right w:w="15" w:type="dxa"/>
            </w:tcMar>
            <w:tcW w:w="626" w:type="dxa"/>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right w:val="single" w:color="auto" w:sz="4" w:space="0"/>
            </w:tcBorders>
            <w:tcMar>
              <w:left w:w="15" w:type="dxa"/>
              <w:top w:w="15" w:type="dxa"/>
              <w:right w:w="15" w:type="dxa"/>
            </w:tcMar>
            <w:tcW w:w="789" w:type="dxa"/>
            <w:vAlign w:val="bottom"/>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建立人员目录、资产目录，并定期组织检查更新。共4分，一项不符合扣2分。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有完善的检查制度，有定期组织日、周、月度检查的计划，并做好整改工作。共6分，一项不符合扣2分。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有完善的例会制度，有定期召开例会的计划并实施。共6分，一次不符合扣2分。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000000" w:sz="4" w:space="0"/>
              <w:right w:val="single" w:color="auto"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none" w:color="000000" w:sz="4" w:space="0"/>
              <w:right w:val="single" w:color="auto"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7"/>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34"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安全生产管理方面</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建立安全管理制度、安全管理流程和监督机制，要求制度上墙。共2分，一项不符合扣1分。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 w:type="dxa"/>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bottom"/>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69"/>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室外、高空作业具备防护设备。不符合标准扣4分。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3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做好安全防护工作，有相应安全设备、措施，并定期进行抽查，共4分，一次不符合扣2分。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8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做好服务满意度工作，经查实投诉问题。一次扣10分。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3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每月进行安全培训，做好培训记录和总结。不符合标准扣2分。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3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34"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2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133"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定期进行安全隐患的接查与整改，并做好持续改进。共6分，一次不符合扣2分。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5" w:type="dxa"/>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6" w:type="dxa"/>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9" w:type="dxa"/>
            <w:vAlign w:val="bottom"/>
            <w:vMerge w:val="continue"/>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06"/>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0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77"/>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720" w:type="dxa"/>
            <w:vAlign w:val="center"/>
            <w:textDirection w:val="lrTb"/>
            <w:noWrap w:val="false"/>
          </w:tcPr>
          <w:p>
            <w:pPr>
              <w:jc w:val="both"/>
              <w:keepLines w:val="0"/>
              <w:keepNext w:val="0"/>
              <w:pageBreakBefore w:val="0"/>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trHeight w:val="434"/>
        </w:trPr>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1457"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133"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考核人员签名：</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15"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26"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89" w:type="dxa"/>
            <w:vAlign w:val="center"/>
            <w:textDirection w:val="lrTb"/>
            <w:noWrap w:val="false"/>
          </w:tcPr>
          <w:p>
            <w:pPr>
              <w:jc w:val="both"/>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br w:type="page" w:clear="all"/>
      </w:r>
      <w:r/>
    </w:p>
    <w:p>
      <w:pPr>
        <w:jc w:val="center"/>
        <w:keepLines w:val="0"/>
        <w:keepNext w:val="0"/>
        <w:pageBreakBefore w:val="0"/>
        <w:spacing w:line="3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保洁、司梯服务（含生活垃圾房）考核细则</w:t>
      </w:r>
      <w:r/>
    </w:p>
    <w:p>
      <w:pPr>
        <w:jc w:val="center"/>
        <w:keepLines w:val="0"/>
        <w:keepNext w:val="0"/>
        <w:pageBreakBefore w:val="0"/>
        <w:spacing w:line="2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2"/>
        <w:tblW w:w="87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7"/>
        <w:gridCol w:w="3454"/>
        <w:gridCol w:w="1956"/>
        <w:gridCol w:w="743"/>
        <w:gridCol w:w="660"/>
        <w:gridCol w:w="687"/>
      </w:tblGrid>
      <w:tr>
        <w:trPr>
          <w:jc w:val="center"/>
          <w:trHeight w:val="675"/>
        </w:trPr>
        <w:tc>
          <w:tcPr>
            <w:tcW w:w="124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34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细则要求</w:t>
            </w:r>
            <w:r/>
          </w:p>
        </w:tc>
        <w:tc>
          <w:tcPr>
            <w:tcW w:w="195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扣分标准</w:t>
            </w:r>
            <w:r/>
          </w:p>
        </w:tc>
        <w:tc>
          <w:tcPr>
            <w:tcW w:w="74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6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扣分内容</w:t>
            </w:r>
            <w:r/>
          </w:p>
        </w:tc>
        <w:tc>
          <w:tcPr>
            <w:tcW w:w="687"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实际</w:t>
            </w:r>
            <w:r/>
          </w:p>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得分</w:t>
            </w:r>
            <w:r/>
          </w:p>
        </w:tc>
      </w:tr>
      <w:tr>
        <w:trPr>
          <w:jc w:val="center"/>
          <w:trHeight w:val="1426"/>
        </w:trPr>
        <w:tc>
          <w:tcPr>
            <w:tcBorders>
              <w:bottom w:val="none" w:color="000000" w:sz="4" w:space="0"/>
            </w:tcBorders>
            <w:tcW w:w="1247"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基本要求</w:t>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（本项可以倒扣分）</w:t>
            </w:r>
            <w:r/>
          </w:p>
        </w:tc>
        <w:tc>
          <w:tcPr>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按要求报送管理人员双休节假日值班表、员工考勤表、工作计划、工作总结、培训记录、社保缴纳等</w:t>
            </w:r>
            <w:r/>
          </w:p>
        </w:tc>
        <w:tc>
          <w:tcPr>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没有及时报送，每少一项扣0.5分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18"/>
        </w:trPr>
        <w:tc>
          <w:tcPr>
            <w:tcBorders>
              <w:top w:val="none" w:color="000000" w:sz="4" w:space="0"/>
              <w:bottom w:val="none" w:color="000000"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对于检查发现的问题、采购人建议及时做出整改</w:t>
            </w:r>
            <w:r/>
          </w:p>
        </w:tc>
        <w:tc>
          <w:tcPr>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整改不及时一次扣0.2分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18"/>
        </w:trPr>
        <w:tc>
          <w:tcPr>
            <w:tcBorders>
              <w:top w:val="none" w:color="000000" w:sz="4" w:space="0"/>
              <w:bottom w:val="none" w:color="000000"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必须按院方认可的人数安排工作人员</w:t>
            </w:r>
            <w:r/>
          </w:p>
        </w:tc>
        <w:tc>
          <w:tcPr>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少1人扣0.5分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72"/>
        </w:trPr>
        <w:tc>
          <w:tcPr>
            <w:tcBorders>
              <w:top w:val="none" w:color="000000" w:sz="4" w:space="0"/>
              <w:bottom w:val="none" w:color="000000"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统一服装，文明、主动服务，佩戴胸牌上岗，在岗在位，不得串岗</w:t>
            </w:r>
            <w:r/>
          </w:p>
        </w:tc>
        <w:tc>
          <w:tcPr>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发现1人次扣0.1分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18"/>
        </w:trPr>
        <w:tc>
          <w:tcPr>
            <w:tcBorders>
              <w:top w:val="none" w:color="000000" w:sz="4" w:space="0"/>
              <w:bottom w:val="single" w:color="auto"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集中更衣、集中就餐、集中洗涤</w:t>
            </w:r>
            <w:r/>
          </w:p>
        </w:tc>
        <w:tc>
          <w:tcPr>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发现1人次扣0.2分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72"/>
        </w:trPr>
        <w:tc>
          <w:tcPr>
            <w:tcBorders>
              <w:top w:val="single" w:color="auto" w:sz="4" w:space="0"/>
              <w:left w:val="single" w:color="auto" w:sz="4" w:space="0"/>
              <w:bottom w:val="single" w:color="auto" w:sz="4" w:space="0"/>
              <w:right w:val="single" w:color="auto" w:sz="4" w:space="0"/>
            </w:tcBorders>
            <w:tcW w:w="1247"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w:t>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（70分）</w:t>
            </w:r>
            <w:r/>
          </w:p>
        </w:tc>
        <w:tc>
          <w:tcPr>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PVC、大理石等地面干净、有光泽，床、床头柜底下等隐蔽区域打扫到位，边角没有污渍</w:t>
            </w:r>
            <w:r/>
          </w:p>
        </w:tc>
        <w:tc>
          <w:tcPr>
            <w:tcBorders>
              <w:left w:val="single" w:color="auto" w:sz="4" w:space="0"/>
            </w:tcBorders>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发现一处扣0.3分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72"/>
        </w:trPr>
        <w:tc>
          <w:tcPr>
            <w:tcBorders>
              <w:top w:val="single" w:color="auto" w:sz="4" w:space="0"/>
              <w:left w:val="single" w:color="auto" w:sz="4" w:space="0"/>
              <w:bottom w:val="single" w:color="auto" w:sz="4" w:space="0"/>
              <w:right w:val="single" w:color="auto"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墙壁、墙砖没有浮灰、蜘蛛网，标识标牌干净无浮灰，内外玻璃洁净光亮，窗槽没有烟灰等杂物</w:t>
            </w:r>
            <w:r/>
          </w:p>
        </w:tc>
        <w:tc>
          <w:tcPr>
            <w:tcBorders>
              <w:left w:val="single" w:color="auto" w:sz="4" w:space="0"/>
            </w:tcBorders>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发现一处扣0.2分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18"/>
        </w:trPr>
        <w:tc>
          <w:tcPr>
            <w:tcBorders>
              <w:top w:val="single" w:color="auto" w:sz="4" w:space="0"/>
              <w:left w:val="single" w:color="auto" w:sz="4" w:space="0"/>
              <w:bottom w:val="single" w:color="auto" w:sz="4" w:space="0"/>
              <w:right w:val="single" w:color="auto"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天花板、出风口干净，没有蛛网、没有黑斑、霉点</w:t>
            </w:r>
            <w:r/>
          </w:p>
        </w:tc>
        <w:tc>
          <w:tcPr>
            <w:tcBorders>
              <w:left w:val="single" w:color="auto" w:sz="4" w:space="0"/>
            </w:tcBorders>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发现一处扣0.2分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72"/>
        </w:trPr>
        <w:tc>
          <w:tcPr>
            <w:tcBorders>
              <w:top w:val="single" w:color="auto" w:sz="4" w:space="0"/>
              <w:left w:val="single" w:color="auto" w:sz="4" w:space="0"/>
              <w:bottom w:val="single" w:color="auto" w:sz="4" w:space="0"/>
              <w:right w:val="single" w:color="auto"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设备带、桌面、床、床头柜、台面等各种器具表面干净整洁，没有灰尘</w:t>
            </w:r>
            <w:r/>
          </w:p>
        </w:tc>
        <w:tc>
          <w:tcPr>
            <w:tcBorders>
              <w:left w:val="single" w:color="auto" w:sz="4" w:space="0"/>
            </w:tcBorders>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发现一处扣0.2分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72"/>
        </w:trPr>
        <w:tc>
          <w:tcPr>
            <w:tcBorders>
              <w:top w:val="single" w:color="auto" w:sz="4" w:space="0"/>
              <w:left w:val="single" w:color="auto" w:sz="4" w:space="0"/>
              <w:bottom w:val="single" w:color="auto" w:sz="4" w:space="0"/>
              <w:right w:val="single" w:color="auto"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水池、龙头、马桶、淋浴房等擦拭洁净光亮，没有黑斑、霉点，垃圾桶（篓）及时更换，没有外溢</w:t>
            </w:r>
            <w:r/>
          </w:p>
        </w:tc>
        <w:tc>
          <w:tcPr>
            <w:tcBorders>
              <w:left w:val="single" w:color="auto" w:sz="4" w:space="0"/>
            </w:tcBorders>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发现一处扣0.5分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18"/>
        </w:trPr>
        <w:tc>
          <w:tcPr>
            <w:tcBorders>
              <w:top w:val="single" w:color="auto" w:sz="4" w:space="0"/>
              <w:left w:val="single" w:color="auto" w:sz="4" w:space="0"/>
              <w:bottom w:val="single" w:color="auto" w:sz="4" w:space="0"/>
              <w:right w:val="single" w:color="auto"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微波炉、开水炉擦拭干净，没有水渍、饭渍</w:t>
            </w:r>
            <w:r/>
          </w:p>
        </w:tc>
        <w:tc>
          <w:tcPr>
            <w:tcBorders>
              <w:left w:val="single" w:color="auto" w:sz="4" w:space="0"/>
            </w:tcBorders>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不干净扣0.2分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18"/>
        </w:trPr>
        <w:tc>
          <w:tcPr>
            <w:tcBorders>
              <w:top w:val="single" w:color="auto" w:sz="4" w:space="0"/>
              <w:left w:val="single" w:color="auto" w:sz="4" w:space="0"/>
              <w:bottom w:val="single" w:color="auto" w:sz="4" w:space="0"/>
              <w:right w:val="single" w:color="auto"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治疗车、抢救车等及时消毒、擦拭干净</w:t>
            </w:r>
            <w:r/>
          </w:p>
        </w:tc>
        <w:tc>
          <w:tcPr>
            <w:tcBorders>
              <w:left w:val="single" w:color="auto" w:sz="4" w:space="0"/>
            </w:tcBorders>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发现一处不干净扣0.2分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72"/>
        </w:trPr>
        <w:tc>
          <w:tcPr>
            <w:tcBorders>
              <w:top w:val="single" w:color="auto" w:sz="4" w:space="0"/>
              <w:left w:val="single" w:color="auto" w:sz="4" w:space="0"/>
              <w:bottom w:val="none" w:color="000000"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tcBorders>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污洗间摆放整洁、有条理，拖把、一床一巾摆放符合规范，没有私人物品</w:t>
            </w:r>
            <w:r/>
          </w:p>
        </w:tc>
        <w:tc>
          <w:tcPr>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发现一处扣0.2分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18"/>
        </w:trPr>
        <w:tc>
          <w:tcPr>
            <w:tcBorders>
              <w:top w:val="none" w:color="000000" w:sz="4" w:space="0"/>
              <w:left w:val="single" w:color="auto" w:sz="4" w:space="0"/>
              <w:bottom w:val="none" w:color="000000"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楼梯间干净整洁，扶手没有浮灰，地面没有烟头</w:t>
            </w:r>
            <w:r/>
          </w:p>
        </w:tc>
        <w:tc>
          <w:tcPr>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发现一处扣0.2分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426"/>
        </w:trPr>
        <w:tc>
          <w:tcPr>
            <w:tcBorders>
              <w:top w:val="none" w:color="000000" w:sz="4" w:space="0"/>
              <w:left w:val="single" w:color="auto" w:sz="4" w:space="0"/>
              <w:bottom w:val="none" w:color="000000" w:sz="4" w:space="0"/>
            </w:tcBorders>
            <w:tcW w:w="1247" w:type="dxa"/>
            <w:vAlign w:val="center"/>
            <w:vMerge w:val="continue"/>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电梯门、轿厢内表面无灰尘、无污迹、无手印、洁净光亮。电梯厢地面无垃圾、纸屑、烟头、杂物等。风扇及时擦拭，没有灰尘。</w:t>
            </w:r>
            <w:r/>
          </w:p>
        </w:tc>
        <w:tc>
          <w:tcPr>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发现一处不干净扣0.2分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60"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7" w:type="dxa"/>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72"/>
        </w:trPr>
        <w:tc>
          <w:tcPr>
            <w:tcBorders>
              <w:top w:val="none" w:color="000000" w:sz="4" w:space="0"/>
              <w:left w:val="single" w:color="auto" w:sz="4" w:space="0"/>
              <w:bottom w:val="none" w:color="000000" w:sz="4" w:space="0"/>
            </w:tcBorders>
            <w:tcW w:w="1247" w:type="dxa"/>
            <w:vAlign w:val="center"/>
            <w:vMerge w:val="continue"/>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室外路灯、指示牌等公共设施干净、不倾斜、没有破损，正常工作</w:t>
            </w:r>
            <w:r/>
          </w:p>
        </w:tc>
        <w:tc>
          <w:tcPr>
            <w:tcW w:w="195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发现1处扣0.5分</w:t>
            </w:r>
            <w:r/>
          </w:p>
        </w:tc>
        <w:tc>
          <w:tcPr>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660"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tcW w:w="687"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jc w:val="center"/>
          <w:trHeight w:val="1072"/>
        </w:trPr>
        <w:tc>
          <w:tcPr>
            <w:tcBorders>
              <w:top w:val="none" w:color="000000" w:sz="4" w:space="0"/>
              <w:bottom w:val="none" w:color="000000" w:sz="4" w:space="0"/>
            </w:tcBorders>
            <w:tcW w:w="1247"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W w:w="3454" w:type="dxa"/>
            <w:vAlign w:val="center"/>
            <w:textDirection w:val="lrTb"/>
            <w:noWrap w:val="false"/>
          </w:tcPr>
          <w:p>
            <w:pPr>
              <w:ind w:firstLine="480"/>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室外路面无垃圾、杂物、积水等，绿化带、花盆内无杂草、枯枝、烟头、塑料袋等杂物</w:t>
            </w:r>
            <w:r/>
          </w:p>
        </w:tc>
        <w:tc>
          <w:tcPr>
            <w:shd w:val="clear" w:color="auto" w:fill="auto"/>
            <w:tcW w:w="1956"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发现1处扣0.3分</w:t>
            </w:r>
            <w:r/>
          </w:p>
        </w:tc>
        <w:tc>
          <w:tcPr>
            <w:shd w:val="clear" w:color="auto" w:fill="auto"/>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660"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tcW w:w="687"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jc w:val="center"/>
          <w:trHeight w:val="1057"/>
        </w:trPr>
        <w:tc>
          <w:tcPr>
            <w:tcBorders>
              <w:top w:val="none" w:color="000000" w:sz="4" w:space="0"/>
              <w:bottom w:val="single" w:color="auto" w:sz="4" w:space="0"/>
            </w:tcBorders>
            <w:tcW w:w="1247"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bottom w:val="single" w:color="auto" w:sz="4" w:space="0"/>
            </w:tcBorders>
            <w:tcW w:w="3454"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  室内外（含楼顶、平台等）排水通畅，排水沟内没有烟头、废纸等杂物</w:t>
            </w:r>
            <w:r/>
          </w:p>
        </w:tc>
        <w:tc>
          <w:tcPr>
            <w:shd w:val="clear" w:color="auto" w:fill="auto"/>
            <w:tcBorders>
              <w:bottom w:val="single" w:color="auto" w:sz="4" w:space="0"/>
            </w:tcBorders>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发现1处扣1分</w:t>
            </w:r>
            <w:r/>
          </w:p>
        </w:tc>
        <w:tc>
          <w:tcPr>
            <w:shd w:val="clear" w:color="auto" w:fill="auto"/>
            <w:tcBorders>
              <w:bottom w:val="single" w:color="auto" w:sz="4" w:space="0"/>
            </w:tcBorders>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p>
        </w:tc>
        <w:tc>
          <w:tcPr>
            <w:tcBorders>
              <w:bottom w:val="single" w:color="auto" w:sz="4" w:space="0"/>
            </w:tcBorders>
            <w:tcW w:w="660"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tcBorders>
              <w:bottom w:val="single" w:color="auto" w:sz="4" w:space="0"/>
            </w:tcBorders>
            <w:tcW w:w="687"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jc w:val="center"/>
          <w:trHeight w:val="627"/>
        </w:trPr>
        <w:tc>
          <w:tcPr>
            <w:shd w:val="clear" w:color="auto" w:fill="auto"/>
            <w:tcBorders>
              <w:top w:val="single" w:color="auto" w:sz="4" w:space="0"/>
              <w:left w:val="single" w:color="auto" w:sz="4" w:space="0"/>
              <w:right w:val="single" w:color="auto" w:sz="4" w:space="0"/>
            </w:tcBorders>
            <w:tcW w:w="1247"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司梯服务</w:t>
            </w:r>
            <w:r/>
          </w:p>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及时报修，记录准确</w:t>
            </w:r>
            <w:r/>
          </w:p>
        </w:tc>
        <w:tc>
          <w:tcPr>
            <w:shd w:val="clear" w:color="auto" w:fill="auto"/>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发现1例扣1分</w:t>
            </w:r>
            <w:r/>
          </w:p>
        </w:tc>
        <w:tc>
          <w:tcPr>
            <w:shd w:val="clear" w:color="auto" w:fill="auto"/>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jc w:val="center"/>
          <w:trHeight w:val="672"/>
        </w:trPr>
        <w:tc>
          <w:tcPr>
            <w:tcBorders>
              <w:left w:val="single" w:color="auto" w:sz="4" w:space="0"/>
              <w:right w:val="single" w:color="auto" w:sz="4" w:space="0"/>
            </w:tcBorders>
            <w:tcW w:w="1247" w:type="dxa"/>
            <w:vAlign w:val="center"/>
            <w:vMerge w:val="continue"/>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仪容整洁，文明用语</w:t>
            </w:r>
            <w:r/>
          </w:p>
        </w:tc>
        <w:tc>
          <w:tcPr>
            <w:shd w:val="clear" w:color="auto" w:fill="auto"/>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1例不及时扣1分</w:t>
            </w:r>
            <w:r/>
          </w:p>
        </w:tc>
        <w:tc>
          <w:tcPr>
            <w:shd w:val="clear" w:color="auto" w:fill="auto"/>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jc w:val="center"/>
          <w:trHeight w:val="829"/>
        </w:trPr>
        <w:tc>
          <w:tcPr>
            <w:tcBorders>
              <w:left w:val="single" w:color="auto" w:sz="4" w:space="0"/>
              <w:bottom w:val="single" w:color="auto" w:sz="4" w:space="0"/>
              <w:right w:val="single" w:color="auto" w:sz="4" w:space="0"/>
            </w:tcBorders>
            <w:tcW w:w="1247" w:type="dxa"/>
            <w:vAlign w:val="center"/>
            <w:vMerge w:val="continue"/>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454"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持证上岗，在岗在位，操作规范。设备整洁干净，没有浮灰</w:t>
            </w:r>
            <w:r/>
          </w:p>
        </w:tc>
        <w:tc>
          <w:tcPr>
            <w:shd w:val="clear" w:color="auto" w:fill="auto"/>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发现1例（处）不符合要求扣1分</w:t>
            </w:r>
            <w:r/>
          </w:p>
        </w:tc>
        <w:tc>
          <w:tcPr>
            <w:shd w:val="clear" w:color="auto" w:fill="auto"/>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bl>
    <w:p>
      <w:pPr>
        <w:ind w:firstLine="480"/>
        <w:jc w:val="left"/>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keepLines w:val="0"/>
        <w:keepNext w:val="0"/>
        <w:pageBreakBefore w:val="0"/>
        <w:spacing w:line="3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医技工勤/收费人员考核细则</w:t>
      </w:r>
      <w:r/>
    </w:p>
    <w:p>
      <w:pPr>
        <w:jc w:val="both"/>
        <w:keepLines w:val="0"/>
        <w:keepNext w:val="0"/>
        <w:pageBreakBefore w:val="0"/>
        <w:spacing w:line="240" w:lineRule="exact"/>
        <w:widowControl w:val="off"/>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tbl>
      <w:tblPr>
        <w:tblStyle w:val="782"/>
        <w:tblW w:w="8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8"/>
        <w:gridCol w:w="800"/>
        <w:gridCol w:w="2324"/>
        <w:gridCol w:w="3988"/>
        <w:gridCol w:w="854"/>
      </w:tblGrid>
      <w:tr>
        <w:trPr>
          <w:jc w:val="center"/>
          <w:trHeight w:val="526"/>
        </w:trPr>
        <w:tc>
          <w:tcPr>
            <w:tcW w:w="7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8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W w:w="232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考核内容</w:t>
            </w:r>
            <w:r/>
          </w:p>
        </w:tc>
        <w:tc>
          <w:tcPr>
            <w:tcW w:w="39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考核标准</w:t>
            </w:r>
            <w:r/>
          </w:p>
        </w:tc>
        <w:tc>
          <w:tcPr>
            <w:tcW w:w="85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得分</w:t>
            </w:r>
            <w:r/>
          </w:p>
        </w:tc>
      </w:tr>
      <w:tr>
        <w:trPr>
          <w:jc w:val="center"/>
          <w:trHeight w:val="4060"/>
        </w:trPr>
        <w:tc>
          <w:tcPr>
            <w:tcW w:w="758" w:type="dxa"/>
            <w:vAlign w:val="center"/>
            <w:textDirection w:val="tbRlV"/>
            <w:noWrap w:val="false"/>
          </w:tcPr>
          <w:p>
            <w:pPr>
              <w:ind w:left="0" w:firstLine="42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基本规范</w:t>
            </w:r>
            <w:r/>
          </w:p>
        </w:tc>
        <w:tc>
          <w:tcPr>
            <w:tcW w:w="8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W w:w="2324"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1、规范上岗，统一服装、佩戴工牌；2、按时上下班，不迟到、不早退；3、坚守岗位，不无故离开工作岗位；4、工作台面清洁、物品摆放整齐；5、上班不玩手机，不做与工作无关事宜。</w:t>
            </w:r>
            <w:r/>
          </w:p>
        </w:tc>
        <w:tc>
          <w:tcPr>
            <w:tcW w:w="3988" w:type="dxa"/>
            <w:vAlign w:val="center"/>
            <w:textDirection w:val="lrTb"/>
            <w:noWrap w:val="false"/>
          </w:tcPr>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1、在岗仪表不端庄，不戴胸卡，故意反戴或遮挡胸卡，不穿工作服，穿拖鞋，每次扣1分。</w:t>
            </w:r>
            <w:r/>
          </w:p>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上班迟到、早退，每次扣1分。</w:t>
            </w:r>
            <w:r/>
          </w:p>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3、上班时间离岗、窜岗，睡觉，每次扣2分。</w:t>
            </w:r>
            <w:r/>
          </w:p>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4、工作台不放置不用的东西，物品摆放方向、区域统一，工作中注意保持工作区域整洁，一处扣1分。</w:t>
            </w:r>
            <w:r>
              <w:rPr>
                <w:rFonts w:hint="eastAsia" w:ascii="宋体" w:hAnsi="宋体" w:eastAsia="宋体" w:cs="宋体"/>
                <w:color w:val="auto"/>
                <w:sz w:val="24"/>
                <w:szCs w:val="24"/>
                <w:highlight w:val="none"/>
                <w:lang w:val="en-US" w:eastAsia="zh-CN"/>
              </w:rPr>
              <w:t xml:space="preserve">         </w:t>
            </w:r>
            <w:r/>
          </w:p>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上班不玩电脑游戏、不玩手机，不带亲友值班，不扎堆聊天，不看杂志，一次扣2分。</w:t>
            </w:r>
            <w:r/>
          </w:p>
        </w:tc>
        <w:tc>
          <w:tcPr>
            <w:tcW w:w="854" w:type="dxa"/>
            <w:vAlign w:val="center"/>
            <w:textDirection w:val="lrTb"/>
            <w:noWrap w:val="false"/>
          </w:tcPr>
          <w:p>
            <w:pPr>
              <w:ind w:left="0" w:firstLine="42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870"/>
        </w:trPr>
        <w:tc>
          <w:tcPr>
            <w:tcW w:w="758" w:type="dxa"/>
            <w:vAlign w:val="center"/>
            <w:textDirection w:val="tbRlV"/>
            <w:noWrap w:val="false"/>
          </w:tcPr>
          <w:p>
            <w:pPr>
              <w:ind w:left="0" w:firstLine="42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工作态度</w:t>
            </w:r>
            <w:r/>
          </w:p>
        </w:tc>
        <w:tc>
          <w:tcPr>
            <w:tcW w:w="8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35分</w:t>
            </w:r>
            <w:r/>
          </w:p>
        </w:tc>
        <w:tc>
          <w:tcPr>
            <w:tcW w:w="2324"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1、工作积极、认真、主动、细心，按时完成科室交给的工作任务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2、及时接（打）电话、礼仪到位、使用规范文明用语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3、对待医、患（或咨询者）态度友好、耐心解答、热心服务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4、顾全大局，服务意识强，不冲撞医患人员</w:t>
            </w:r>
            <w:r>
              <w:rPr>
                <w:rFonts w:hint="eastAsia" w:ascii="宋体" w:hAnsi="宋体" w:cs="宋体"/>
                <w:color w:val="auto"/>
                <w:sz w:val="24"/>
                <w:szCs w:val="24"/>
                <w:highlight w:val="none"/>
                <w:lang w:eastAsia="zh-CN"/>
              </w:rPr>
              <w:t xml:space="preserve">。</w:t>
            </w:r>
            <w:r/>
          </w:p>
        </w:tc>
        <w:tc>
          <w:tcPr>
            <w:tcW w:w="3988" w:type="dxa"/>
            <w:vAlign w:val="center"/>
            <w:textDirection w:val="lrTb"/>
            <w:noWrap w:val="false"/>
          </w:tcPr>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1、工作不积极、不认真、不主动、不细致，每次扣1分。</w:t>
            </w:r>
            <w:r/>
          </w:p>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2、电话铃声三声后不接听电话或故意不听接，不使用规范文明用语，每次扣1分。</w:t>
            </w:r>
            <w:r/>
          </w:p>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3、对待医、患人员态度生、冷、硬，面对就诊问询没有微笑，解答问题不耐心，不热情，每次扣5分。</w:t>
            </w:r>
            <w:r/>
          </w:p>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4、缺乏全局观念，与患者发生争吵，故意激怒患者造成投诉，每次扣5分。</w:t>
            </w:r>
            <w:r/>
          </w:p>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5、发现问题，在能解决范围不主动解决，不汇报科室，每次5分。</w:t>
            </w:r>
            <w:r/>
          </w:p>
        </w:tc>
        <w:tc>
          <w:tcPr>
            <w:tcW w:w="854" w:type="dxa"/>
            <w:vAlign w:val="center"/>
            <w:textDirection w:val="lrTb"/>
            <w:noWrap w:val="false"/>
          </w:tcPr>
          <w:p>
            <w:pPr>
              <w:ind w:left="0" w:firstLine="42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450"/>
        </w:trPr>
        <w:tc>
          <w:tcPr>
            <w:tcW w:w="758" w:type="dxa"/>
            <w:vAlign w:val="center"/>
            <w:textDirection w:val="tbRlV"/>
            <w:noWrap w:val="false"/>
          </w:tcPr>
          <w:p>
            <w:pPr>
              <w:ind w:left="0" w:firstLine="420"/>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岗位技能</w:t>
            </w:r>
            <w:r/>
          </w:p>
        </w:tc>
        <w:tc>
          <w:tcPr>
            <w:tcW w:w="8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W w:w="2324"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1、职责范围内专业知识、职业技能掌握熟练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2、清楚岗位工作流程并能按要求完成本职工作</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3、突发事件应急处理能力</w:t>
            </w:r>
            <w:r>
              <w:rPr>
                <w:rFonts w:hint="eastAsia" w:ascii="宋体" w:hAnsi="宋体" w:cs="宋体"/>
                <w:color w:val="auto"/>
                <w:sz w:val="24"/>
                <w:szCs w:val="24"/>
                <w:highlight w:val="none"/>
                <w:lang w:eastAsia="zh-CN"/>
              </w:rPr>
              <w:t xml:space="preserve">。</w:t>
            </w:r>
            <w:r/>
          </w:p>
        </w:tc>
        <w:tc>
          <w:tcPr>
            <w:tcW w:w="3988" w:type="dxa"/>
            <w:vAlign w:val="center"/>
            <w:textDirection w:val="lrTb"/>
            <w:noWrap w:val="false"/>
          </w:tcPr>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1、科室培训后业务知识不清楚或记不全，辅助技能操作不熟练，每项扣2分</w:t>
            </w:r>
            <w:r>
              <w:rPr>
                <w:rFonts w:hint="eastAsia" w:ascii="宋体" w:hAnsi="宋体" w:cs="宋体"/>
                <w:color w:val="auto"/>
                <w:sz w:val="24"/>
                <w:szCs w:val="24"/>
                <w:highlight w:val="none"/>
                <w:lang w:eastAsia="zh-CN"/>
              </w:rPr>
              <w:t xml:space="preserve">。</w:t>
            </w:r>
            <w:r/>
          </w:p>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2、岗位工作流程不清楚，不能按科室要求完成本职工作，每项扣5分。</w:t>
            </w:r>
            <w:r/>
          </w:p>
          <w:p>
            <w:pPr>
              <w:ind w:left="0" w:firstLine="420"/>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3、遇突发事件或紧急情况，反应不灵敏，处理不得当，每次扣5分。</w:t>
            </w:r>
            <w:r/>
          </w:p>
        </w:tc>
        <w:tc>
          <w:tcPr>
            <w:tcW w:w="854" w:type="dxa"/>
            <w:vAlign w:val="center"/>
            <w:textDirection w:val="lrTb"/>
            <w:noWrap w:val="false"/>
          </w:tcPr>
          <w:p>
            <w:pPr>
              <w:ind w:left="0" w:firstLine="42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tbl>
      <w:tblPr>
        <w:tblStyle w:val="808"/>
        <w:tblW w:w="0" w:type="auto"/>
        <w:tblInd w:w="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3993"/>
        <w:gridCol w:w="1825"/>
        <w:gridCol w:w="1651"/>
      </w:tblGrid>
      <w:tr>
        <w:trPr>
          <w:trHeight w:val="639"/>
        </w:trPr>
        <w:tc>
          <w:tcPr>
            <w:tcW w:w="1280"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3993"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岗 位</w:t>
            </w:r>
            <w:r/>
          </w:p>
        </w:tc>
        <w:tc>
          <w:tcPr>
            <w:tcW w:w="1825"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人员数量</w:t>
            </w:r>
            <w:r/>
          </w:p>
        </w:tc>
        <w:tc>
          <w:tcPr>
            <w:tcW w:w="1651"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备注</w:t>
            </w:r>
            <w:r/>
          </w:p>
        </w:tc>
      </w:tr>
      <w:tr>
        <w:trPr>
          <w:trHeight w:val="580" w:hRule="exact"/>
        </w:trPr>
        <w:tc>
          <w:tcPr>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W w:w="39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项目经理</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580" w:hRule="exact"/>
        </w:trPr>
        <w:tc>
          <w:tcPr>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W w:w="39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主管</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580" w:hRule="exact"/>
        </w:trPr>
        <w:tc>
          <w:tcPr>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shd w:val="clear" w:color="auto" w:fill="auto"/>
            <w:tcW w:w="39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门诊保洁、医技楼保洁</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580" w:hRule="exact"/>
        </w:trPr>
        <w:tc>
          <w:tcPr>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W w:w="39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住院部保洁、手术室、外围</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569" w:hRule="exact"/>
        </w:trPr>
        <w:tc>
          <w:tcPr>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5</w:t>
            </w:r>
            <w:r/>
          </w:p>
        </w:tc>
        <w:tc>
          <w:tcPr>
            <w:shd w:val="clear" w:color="auto" w:fill="auto"/>
            <w:tcW w:w="39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医技</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580" w:hRule="exact"/>
        </w:trPr>
        <w:tc>
          <w:tcPr>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shd w:val="clear" w:color="auto" w:fill="auto"/>
            <w:tcW w:w="39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陪检运送（含药房）</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580" w:hRule="exact"/>
        </w:trPr>
        <w:tc>
          <w:tcPr>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shd w:val="clear" w:color="auto" w:fill="auto"/>
            <w:tcW w:w="39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氧气班</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580" w:hRule="exact"/>
        </w:trPr>
        <w:tc>
          <w:tcPr>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w:t>
            </w:r>
            <w:r/>
          </w:p>
        </w:tc>
        <w:tc>
          <w:tcPr>
            <w:shd w:val="clear" w:color="auto" w:fill="auto"/>
            <w:tcW w:w="399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医废</w:t>
            </w:r>
            <w:r>
              <w:rPr>
                <w:rFonts w:hint="eastAsia" w:ascii="宋体" w:hAnsi="宋体" w:cs="宋体"/>
                <w:i w:val="0"/>
                <w:iCs w:val="0"/>
                <w:color w:val="000000"/>
                <w:sz w:val="24"/>
                <w:szCs w:val="24"/>
                <w:u w:val="none"/>
                <w:lang w:val="en-US" w:eastAsia="zh-CN" w:bidi="ar"/>
              </w:rPr>
              <w:t xml:space="preserve">收集</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580" w:hRule="exact"/>
        </w:trPr>
        <w:tc>
          <w:tcPr>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9</w:t>
            </w:r>
            <w:r/>
          </w:p>
        </w:tc>
        <w:tc>
          <w:tcPr>
            <w:shd w:val="clear" w:color="auto" w:fill="auto"/>
            <w:tcW w:w="39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水电工</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580" w:hRule="exact"/>
        </w:trPr>
        <w:tc>
          <w:tcPr>
            <w:tcW w:w="12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W w:w="39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门诊导医</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580" w:hRule="exact"/>
        </w:trPr>
        <w:tc>
          <w:tcPr>
            <w:tcW w:w="12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11</w:t>
            </w:r>
            <w:r/>
          </w:p>
        </w:tc>
        <w:tc>
          <w:tcPr>
            <w:shd w:val="clear" w:color="auto" w:fill="auto"/>
            <w:tcW w:w="39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收费窗口</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580" w:hRule="exact"/>
        </w:trPr>
        <w:tc>
          <w:tcPr>
            <w:tcW w:w="12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12</w:t>
            </w:r>
            <w:r/>
          </w:p>
        </w:tc>
        <w:tc>
          <w:tcPr>
            <w:shd w:val="clear" w:color="auto" w:fill="auto"/>
            <w:tcW w:w="39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行政楼文员</w:t>
            </w:r>
            <w:r/>
          </w:p>
        </w:tc>
        <w:tc>
          <w:tcPr>
            <w:tcW w:w="1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r>
        <w:trPr>
          <w:trHeight w:val="656" w:hRule="exact"/>
        </w:trPr>
        <w:tc>
          <w:tcPr>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合计人数</w:t>
            </w:r>
            <w:r/>
          </w:p>
        </w:tc>
        <w:tc>
          <w:tcPr>
            <w:tcW w:w="399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c>
          <w:tcPr>
            <w:tcW w:w="182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60</w:t>
            </w:r>
            <w:r/>
          </w:p>
        </w:tc>
        <w:tc>
          <w:tcPr>
            <w:tcW w:w="1651" w:type="dxa"/>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shd w:val="clear" w:color="auto" w:fill="auto"/>
                <w:lang w:val="en-US" w:eastAsia="zh-CN"/>
              </w:rPr>
              <w:suppressLineNumbers w:val="0"/>
            </w:pPr>
            <w:r>
              <w:rPr>
                <w:rFonts w:hint="eastAsia" w:ascii="宋体" w:hAnsi="宋体" w:eastAsia="宋体" w:cs="宋体"/>
                <w:i w:val="0"/>
                <w:iCs w:val="0"/>
                <w:color w:val="auto"/>
                <w:sz w:val="24"/>
                <w:szCs w:val="24"/>
                <w:highlight w:val="none"/>
                <w:u w:val="none"/>
                <w:shd w:val="clear" w:color="auto" w:fill="auto"/>
                <w:lang w:val="en-US" w:eastAsia="zh-CN"/>
              </w:rPr>
            </w:r>
            <w:r/>
          </w:p>
        </w:tc>
      </w:tr>
    </w:tbl>
    <w:p>
      <w:pPr>
        <w:rPr>
          <w:rFonts w:hint="eastAsia" w:ascii="宋体" w:hAnsi="宋体" w:eastAsia="宋体" w:cs="宋体"/>
          <w:color w:val="auto"/>
          <w:sz w:val="44"/>
          <w:szCs w:val="44"/>
          <w:highlight w:val="none"/>
        </w:rPr>
      </w:pPr>
      <w:r/>
      <w:bookmarkStart w:id="3" w:name="_Toc18997"/>
      <w:r>
        <w:rPr>
          <w:rFonts w:hint="eastAsia" w:ascii="宋体" w:hAnsi="宋体" w:eastAsia="宋体" w:cs="宋体"/>
          <w:color w:val="auto"/>
          <w:sz w:val="44"/>
          <w:szCs w:val="44"/>
          <w:highlight w:val="none"/>
        </w:rPr>
        <w:br w:type="page" w:clear="all"/>
      </w:r>
      <w:r/>
    </w:p>
    <w:p>
      <w:pPr>
        <w:pStyle w:val="997"/>
        <w:jc w:val="center"/>
        <w:spacing w:beforeAutospacing="0" w:afterAutospacing="0"/>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第四章</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采购需求</w:t>
      </w:r>
      <w:bookmarkEnd w:id="3"/>
      <w:r/>
      <w:r/>
    </w:p>
    <w:p>
      <w:pPr>
        <w:ind w:firstLine="480"/>
        <w:jc w:val="left"/>
        <w:spacing w:line="520" w:lineRule="exact"/>
        <w:widowControl/>
        <w:rPr>
          <w:rFonts w:ascii="宋体" w:hAnsi="宋体" w:eastAsia="Arial" w:cs="宋体"/>
          <w:b/>
          <w:bCs/>
          <w:color w:val="000000"/>
          <w:sz w:val="24"/>
          <w:szCs w:val="20"/>
          <w:lang w:val="zh-CN"/>
        </w:rPr>
      </w:pPr>
      <w:r/>
      <w:bookmarkStart w:id="4" w:name="_Toc49090575"/>
      <w:r/>
      <w:bookmarkStart w:id="5" w:name="_Toc26554093"/>
      <w:r/>
      <w:bookmarkStart w:id="6" w:name="_Toc17312"/>
      <w:r/>
      <w:bookmarkStart w:id="7" w:name="_Toc2486"/>
      <w:r/>
      <w:bookmarkStart w:id="8" w:name="_Toc5112"/>
      <w:r>
        <w:rPr>
          <w:rFonts w:hint="eastAsia" w:ascii="宋体" w:hAnsi="宋体" w:eastAsia="Arial" w:cs="宋体"/>
          <w:b/>
          <w:bCs/>
          <w:color w:val="000000"/>
          <w:sz w:val="24"/>
          <w:szCs w:val="20"/>
          <w:lang w:val="zh-CN"/>
        </w:rPr>
        <w:t xml:space="preserve">项目属性：服务类项目</w:t>
      </w:r>
      <w:bookmarkEnd w:id="4"/>
      <w:r/>
      <w:bookmarkEnd w:id="5"/>
      <w:r/>
      <w:r/>
    </w:p>
    <w:p>
      <w:pPr>
        <w:ind w:firstLine="480"/>
        <w:jc w:val="left"/>
        <w:spacing w:line="520" w:lineRule="exact"/>
        <w:widowControl/>
        <w:rPr>
          <w:rFonts w:hint="eastAsia" w:ascii="宋体" w:hAnsi="宋体" w:eastAsia="Arial" w:cs="宋体"/>
          <w:b/>
          <w:bCs/>
          <w:color w:val="000000"/>
          <w:sz w:val="24"/>
          <w:szCs w:val="20"/>
        </w:rPr>
      </w:pPr>
      <w:r>
        <w:rPr>
          <w:rFonts w:hint="eastAsia" w:ascii="宋体" w:hAnsi="宋体" w:eastAsia="Arial" w:cs="宋体"/>
          <w:b/>
          <w:bCs/>
          <w:color w:val="000000"/>
          <w:sz w:val="24"/>
          <w:szCs w:val="20"/>
        </w:rPr>
        <w:t xml:space="preserve">1</w:t>
      </w:r>
      <w:r>
        <w:rPr>
          <w:rFonts w:hint="eastAsia" w:ascii="宋体" w:hAnsi="宋体" w:eastAsia="Arial" w:cs="宋体"/>
          <w:b/>
          <w:bCs/>
          <w:color w:val="000000"/>
          <w:sz w:val="24"/>
          <w:szCs w:val="20"/>
          <w:lang w:val="en-US" w:eastAsia="zh-CN"/>
        </w:rPr>
        <w:t xml:space="preserve">、</w:t>
      </w:r>
      <w:r>
        <w:rPr>
          <w:rFonts w:hint="eastAsia" w:ascii="宋体" w:hAnsi="宋体" w:eastAsia="Arial" w:cs="宋体"/>
          <w:b/>
          <w:bCs/>
          <w:color w:val="000000"/>
          <w:sz w:val="24"/>
          <w:szCs w:val="20"/>
        </w:rPr>
        <w:t xml:space="preserve">项目基本情况</w:t>
      </w:r>
      <w:bookmarkEnd w:id="6"/>
      <w:r/>
      <w:r/>
    </w:p>
    <w:p>
      <w:pPr>
        <w:ind w:firstLine="480"/>
        <w:jc w:val="left"/>
        <w:spacing w:line="520" w:lineRule="exact"/>
        <w:widowControl/>
        <w:rPr>
          <w:rFonts w:hint="eastAsia" w:ascii="宋体" w:hAnsi="宋体" w:eastAsia="Arial" w:cs="宋体"/>
          <w:b/>
          <w:bCs/>
          <w:color w:val="000000"/>
          <w:sz w:val="24"/>
          <w:szCs w:val="20"/>
        </w:rPr>
      </w:pPr>
      <w:r>
        <w:rPr>
          <w:rFonts w:hint="eastAsia" w:ascii="宋体" w:hAnsi="宋体" w:eastAsia="Arial" w:cs="宋体"/>
          <w:b/>
          <w:bCs/>
          <w:color w:val="000000"/>
          <w:sz w:val="24"/>
          <w:szCs w:val="20"/>
        </w:rPr>
        <w:t xml:space="preserve">1.1物业</w:t>
      </w:r>
      <w:r>
        <w:rPr>
          <w:rFonts w:hint="eastAsia" w:ascii="宋体" w:hAnsi="宋体" w:eastAsia="Arial" w:cs="宋体"/>
          <w:b/>
          <w:bCs/>
          <w:color w:val="000000"/>
          <w:sz w:val="24"/>
          <w:szCs w:val="20"/>
          <w:lang w:val="en-US" w:eastAsia="zh-CN"/>
        </w:rPr>
        <w:t xml:space="preserve">情况</w:t>
      </w:r>
      <w:r/>
    </w:p>
    <w:tbl>
      <w:tblPr>
        <w:tblStyle w:val="808"/>
        <w:tblW w:w="4871" w:type="pct"/>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7"/>
        <w:gridCol w:w="4451"/>
      </w:tblGrid>
      <w:tr>
        <w:trPr>
          <w:trHeight w:val="659"/>
        </w:trPr>
        <w:tc>
          <w:tcPr>
            <w:tcW w:w="4177" w:type="dxa"/>
            <w:vAlign w:val="center"/>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物业名称</w:t>
            </w:r>
            <w:r/>
          </w:p>
        </w:tc>
        <w:tc>
          <w:tcPr>
            <w:tcW w:w="4452" w:type="dxa"/>
            <w:vAlign w:val="center"/>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物业地址</w:t>
            </w:r>
            <w:r/>
          </w:p>
        </w:tc>
      </w:tr>
      <w:tr>
        <w:trPr>
          <w:trHeight w:val="960"/>
        </w:trPr>
        <w:tc>
          <w:tcPr>
            <w:tcW w:w="4177" w:type="dxa"/>
            <w:vAlign w:val="center"/>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盐城市第一人民医院五官科医院</w:t>
            </w:r>
            <w:r/>
          </w:p>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物业服务</w:t>
            </w:r>
            <w:r/>
          </w:p>
        </w:tc>
        <w:tc>
          <w:tcPr>
            <w:tcW w:w="4452" w:type="dxa"/>
            <w:vAlign w:val="center"/>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盐城市第一人民医院五官科医院</w:t>
            </w:r>
            <w:r/>
          </w:p>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（盐城市亭湖区南城河路12号）</w:t>
            </w:r>
            <w:r/>
          </w:p>
        </w:tc>
      </w:tr>
    </w:tbl>
    <w:p>
      <w:pPr>
        <w:ind w:firstLine="480"/>
        <w:jc w:val="left"/>
        <w:spacing w:line="520" w:lineRule="exact"/>
        <w:widowControl/>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1.2采购人提供供应商使用的条件:采购人按照规定在物业管理区域内配置必要的物业管理用房。物业管理用房的所有权依法属于采购人。未经采购人同意，物业管理企业不得改变物业管理用房的用途。</w:t>
      </w:r>
      <w:r/>
    </w:p>
    <w:p>
      <w:pPr>
        <w:ind w:firstLine="480"/>
        <w:jc w:val="left"/>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2、物业服务范围</w:t>
      </w:r>
      <w:r/>
    </w:p>
    <w:p>
      <w:pPr>
        <w:ind w:firstLine="480"/>
        <w:jc w:val="left"/>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（1）物业管理（建筑物）</w:t>
      </w:r>
      <w:r/>
    </w:p>
    <w:tbl>
      <w:tblPr>
        <w:tblStyle w:val="808"/>
        <w:tblW w:w="4866" w:type="pct"/>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2032"/>
        <w:gridCol w:w="3126"/>
        <w:gridCol w:w="2388"/>
      </w:tblGrid>
      <w:tr>
        <w:trPr>
          <w:trHeight w:val="582"/>
        </w:trPr>
        <w:tc>
          <w:tcPr>
            <w:gridSpan w:val="2"/>
            <w:tcW w:w="310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sz w:val="22"/>
                <w:szCs w:val="22"/>
                <w:highlight w:val="none"/>
                <w:lang w:val="en-US" w:eastAsia="zh-CN"/>
              </w:rPr>
              <w:t xml:space="preserve">名称</w:t>
            </w:r>
            <w:r/>
          </w:p>
        </w:tc>
        <w:tc>
          <w:tcPr>
            <w:tcW w:w="3126"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2"/>
                <w:szCs w:val="22"/>
                <w:highlight w:val="none"/>
                <w:lang w:eastAsia="zh-CN"/>
              </w:rPr>
            </w:pPr>
            <w:r>
              <w:rPr>
                <w:rFonts w:hint="eastAsia" w:ascii="宋体" w:hAnsi="宋体" w:eastAsia="宋体" w:cs="宋体"/>
                <w:b/>
                <w:bCs/>
                <w:sz w:val="22"/>
                <w:szCs w:val="22"/>
                <w:highlight w:val="none"/>
              </w:rPr>
              <w:t xml:space="preserve">明细</w:t>
            </w:r>
            <w:r/>
          </w:p>
        </w:tc>
        <w:tc>
          <w:tcPr>
            <w:tcW w:w="238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服务内容及标准</w:t>
            </w:r>
            <w:r/>
          </w:p>
        </w:tc>
      </w:tr>
      <w:tr>
        <w:trPr>
          <w:trHeight w:val="1019"/>
        </w:trPr>
        <w:tc>
          <w:tcPr>
            <w:gridSpan w:val="2"/>
            <w:tcW w:w="3105" w:type="dxa"/>
            <w:vAlign w:val="center"/>
            <w:textDirection w:val="lrTb"/>
            <w:noWrap w:val="false"/>
          </w:tcPr>
          <w:p>
            <w:pPr>
              <w:numPr>
                <w:ilvl w:val="0"/>
                <w:numId w:val="0"/>
              </w:numPr>
              <w:jc w:val="center"/>
              <w:keepLines w:val="0"/>
              <w:keepNext w:val="0"/>
              <w:pageBreakBefore w:val="0"/>
              <w:spacing w:line="36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五官科医院建筑楼</w:t>
            </w:r>
            <w:r/>
          </w:p>
        </w:tc>
        <w:tc>
          <w:tcPr>
            <w:tcW w:w="3126" w:type="dxa"/>
            <w:vAlign w:val="center"/>
            <w:textDirection w:val="lrTb"/>
            <w:noWrap w:val="false"/>
          </w:tcPr>
          <w:p>
            <w:pPr>
              <w:numPr>
                <w:ilvl w:val="0"/>
                <w:numId w:val="0"/>
              </w:numPr>
              <w:jc w:val="center"/>
              <w:keepLines w:val="0"/>
              <w:keepNext w:val="0"/>
              <w:pageBreakBefore w:val="0"/>
              <w:spacing w:line="36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门诊、医技楼，办公楼，住院部</w:t>
            </w:r>
            <w:r/>
          </w:p>
        </w:tc>
        <w:tc>
          <w:tcPr>
            <w:tcW w:w="2388" w:type="dxa"/>
            <w:vAlign w:val="center"/>
            <w:vMerge w:val="restart"/>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详见项目需求“第3.2条保洁服务”</w:t>
            </w:r>
            <w:r/>
          </w:p>
        </w:tc>
      </w:tr>
      <w:tr>
        <w:trPr>
          <w:trHeight w:val="503"/>
        </w:trPr>
        <w:tc>
          <w:tcPr>
            <w:tcW w:w="1073" w:type="dxa"/>
            <w:vAlign w:val="center"/>
            <w:vMerge w:val="restart"/>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总面积</w:t>
            </w:r>
            <w:r/>
          </w:p>
        </w:tc>
        <w:tc>
          <w:tcPr>
            <w:tcW w:w="2032"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建筑面积  （㎡）</w:t>
            </w:r>
            <w:r/>
          </w:p>
        </w:tc>
        <w:tc>
          <w:tcPr>
            <w:tcW w:w="3126" w:type="dxa"/>
            <w:vAlign w:val="center"/>
            <w:textDirection w:val="lrTb"/>
            <w:noWrap w:val="false"/>
          </w:tcPr>
          <w:p>
            <w:pPr>
              <w:numPr>
                <w:ilvl w:val="0"/>
                <w:numId w:val="0"/>
              </w:numPr>
              <w:jc w:val="center"/>
              <w:keepLines w:val="0"/>
              <w:keepNext w:val="0"/>
              <w:pageBreakBefore w:val="0"/>
              <w:spacing w:line="36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13000㎡</w:t>
            </w:r>
            <w:r/>
          </w:p>
        </w:tc>
        <w:tc>
          <w:tcPr>
            <w:tcW w:w="23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highlight w:val="cyan"/>
                <w:lang w:val="en-US" w:eastAsia="zh-CN" w:bidi="ar-SA"/>
              </w:rPr>
            </w:pPr>
            <w:r>
              <w:rPr>
                <w:rFonts w:hint="eastAsia" w:ascii="宋体" w:hAnsi="宋体" w:eastAsia="宋体" w:cs="宋体"/>
                <w:color w:val="auto"/>
                <w:sz w:val="22"/>
                <w:szCs w:val="22"/>
                <w:highlight w:val="cyan"/>
                <w:lang w:val="en-US" w:eastAsia="zh-CN" w:bidi="ar-SA"/>
              </w:rPr>
            </w:r>
            <w:r/>
          </w:p>
        </w:tc>
      </w:tr>
      <w:tr>
        <w:trPr>
          <w:trHeight w:val="454"/>
        </w:trPr>
        <w:tc>
          <w:tcPr>
            <w:tcW w:w="1073" w:type="dxa"/>
            <w:vAlign w:val="center"/>
            <w:vMerge w:val="continue"/>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tc>
        <w:tc>
          <w:tcPr>
            <w:tcW w:w="2032"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需保洁面积（㎡）</w:t>
            </w:r>
            <w:r/>
          </w:p>
        </w:tc>
        <w:tc>
          <w:tcPr>
            <w:tcW w:w="3126" w:type="dxa"/>
            <w:vAlign w:val="center"/>
            <w:textDirection w:val="lrTb"/>
            <w:noWrap w:val="false"/>
          </w:tcPr>
          <w:p>
            <w:pPr>
              <w:numPr>
                <w:ilvl w:val="0"/>
                <w:numId w:val="0"/>
              </w:numPr>
              <w:jc w:val="center"/>
              <w:keepLines w:val="0"/>
              <w:keepNext w:val="0"/>
              <w:pageBreakBefore w:val="0"/>
              <w:spacing w:line="36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13000㎡</w:t>
            </w:r>
            <w:r/>
          </w:p>
        </w:tc>
        <w:tc>
          <w:tcPr>
            <w:tcW w:w="2388"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r>
    </w:tbl>
    <w:p>
      <w:pPr>
        <w:pStyle w:val="780"/>
        <w:ind w:firstLine="198"/>
        <w:keepLines w:val="0"/>
        <w:keepNext w:val="0"/>
        <w:pageBreakBefore w:val="0"/>
        <w:spacing w:line="400" w:lineRule="exact"/>
        <w:widowControl/>
        <w:rPr>
          <w:rFonts w:hint="eastAsia" w:ascii="宋体" w:hAnsi="宋体" w:eastAsia="Arial" w:cs="宋体"/>
          <w:b w:val="0"/>
          <w:color w:val="000000"/>
          <w:sz w:val="24"/>
          <w:szCs w:val="20"/>
          <w:lang w:val="en-US" w:eastAsia="zh-CN" w:bidi="ar-SA"/>
        </w:rPr>
      </w:pPr>
      <w:r>
        <w:rPr>
          <w:rFonts w:hint="eastAsia" w:ascii="宋体" w:hAnsi="宋体" w:eastAsia="Arial" w:cs="宋体"/>
          <w:b w:val="0"/>
          <w:color w:val="000000"/>
          <w:sz w:val="24"/>
          <w:szCs w:val="20"/>
          <w:lang w:val="en-US" w:eastAsia="zh-CN" w:bidi="ar-SA"/>
        </w:rPr>
      </w:r>
      <w:r/>
    </w:p>
    <w:p>
      <w:pPr>
        <w:pStyle w:val="780"/>
        <w:ind w:firstLine="198"/>
        <w:keepLines w:val="0"/>
        <w:keepNext w:val="0"/>
        <w:pageBreakBefore w:val="0"/>
        <w:spacing w:line="400" w:lineRule="exact"/>
        <w:widowControl/>
        <w:rPr>
          <w:rFonts w:hint="eastAsia" w:ascii="宋体" w:hAnsi="宋体" w:eastAsia="Arial" w:cs="宋体"/>
          <w:b/>
          <w:bCs/>
          <w:color w:val="000000"/>
          <w:sz w:val="24"/>
          <w:szCs w:val="20"/>
          <w:lang w:val="en-US" w:eastAsia="zh-CN" w:bidi="ar-SA"/>
        </w:rPr>
      </w:pPr>
      <w:r>
        <w:rPr>
          <w:rFonts w:hint="eastAsia" w:ascii="宋体" w:hAnsi="宋体" w:eastAsia="Arial" w:cs="宋体"/>
          <w:b/>
          <w:bCs/>
          <w:color w:val="000000"/>
          <w:sz w:val="24"/>
          <w:szCs w:val="20"/>
          <w:lang w:val="en-US" w:eastAsia="zh-CN" w:bidi="ar-SA"/>
        </w:rPr>
        <w:t xml:space="preserve">（2）物业管理（室外）</w:t>
      </w:r>
      <w:bookmarkStart w:id="25" w:name="_GoBack"/>
      <w:r/>
      <w:bookmarkEnd w:id="25"/>
      <w:r/>
      <w:r/>
    </w:p>
    <w:tbl>
      <w:tblPr>
        <w:tblStyle w:val="808"/>
        <w:tblW w:w="4871" w:type="pct"/>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1"/>
        <w:gridCol w:w="2758"/>
        <w:gridCol w:w="3309"/>
      </w:tblGrid>
      <w:tr>
        <w:trPr>
          <w:trHeight w:val="582"/>
        </w:trPr>
        <w:tc>
          <w:tcPr>
            <w:tcW w:w="2561"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名称</w:t>
            </w:r>
            <w:r/>
          </w:p>
        </w:tc>
        <w:tc>
          <w:tcPr>
            <w:tcW w:w="2758"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明细</w:t>
            </w:r>
            <w:r/>
          </w:p>
        </w:tc>
        <w:tc>
          <w:tcPr>
            <w:tcW w:w="3309"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服务内容及标准</w:t>
            </w:r>
            <w:r/>
          </w:p>
        </w:tc>
      </w:tr>
      <w:tr>
        <w:trPr>
          <w:trHeight w:val="454"/>
        </w:trPr>
        <w:tc>
          <w:tcPr>
            <w:tcW w:w="2561" w:type="dxa"/>
            <w:vAlign w:val="center"/>
            <w:textDirection w:val="lrTb"/>
            <w:noWrap w:val="false"/>
          </w:tcPr>
          <w:p>
            <w:pPr>
              <w:numPr>
                <w:ilvl w:val="0"/>
                <w:numId w:val="0"/>
              </w:numPr>
              <w:jc w:val="center"/>
              <w:keepLines w:val="0"/>
              <w:keepNext w:val="0"/>
              <w:pageBreakBefore w:val="0"/>
              <w:spacing w:line="36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院内道路</w:t>
            </w:r>
            <w:r/>
          </w:p>
        </w:tc>
        <w:tc>
          <w:tcPr>
            <w:tcW w:w="2758" w:type="dxa"/>
            <w:vAlign w:val="center"/>
            <w:textDirection w:val="lrTb"/>
            <w:noWrap w:val="false"/>
          </w:tcPr>
          <w:p>
            <w:pPr>
              <w:numPr>
                <w:ilvl w:val="0"/>
                <w:numId w:val="0"/>
              </w:numPr>
              <w:jc w:val="center"/>
              <w:keepLines w:val="0"/>
              <w:keepNext w:val="0"/>
              <w:pageBreakBefore w:val="0"/>
              <w:spacing w:line="36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10000</w:t>
            </w:r>
            <w:r>
              <w:rPr>
                <w:rFonts w:hint="eastAsia" w:ascii="宋体" w:hAnsi="宋体" w:eastAsia="宋体" w:cs="宋体"/>
                <w:color w:val="auto"/>
                <w:sz w:val="24"/>
                <w:szCs w:val="24"/>
                <w:highlight w:val="none"/>
                <w:vertAlign w:val="baseline"/>
                <w:lang w:val="en-US" w:eastAsia="zh-CN"/>
              </w:rPr>
              <w:t xml:space="preserve">㎡</w:t>
            </w:r>
            <w:r/>
          </w:p>
        </w:tc>
        <w:tc>
          <w:tcPr>
            <w:tcW w:w="3309"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详见项目需求“第3.2条保洁服务”</w:t>
            </w:r>
            <w:r/>
          </w:p>
        </w:tc>
      </w:tr>
      <w:tr>
        <w:trPr>
          <w:trHeight w:val="745"/>
        </w:trPr>
        <w:tc>
          <w:tcPr>
            <w:tcW w:w="2561" w:type="dxa"/>
            <w:vAlign w:val="center"/>
            <w:textDirection w:val="lrTb"/>
            <w:noWrap w:val="false"/>
          </w:tcPr>
          <w:p>
            <w:pPr>
              <w:numPr>
                <w:ilvl w:val="0"/>
                <w:numId w:val="0"/>
              </w:numPr>
              <w:jc w:val="center"/>
              <w:keepLines w:val="0"/>
              <w:keepNext w:val="0"/>
              <w:pageBreakBefore w:val="0"/>
              <w:spacing w:line="36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建筑房屋四周</w:t>
            </w:r>
            <w:r/>
          </w:p>
        </w:tc>
        <w:tc>
          <w:tcPr>
            <w:tcW w:w="2758"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自行车库200</w:t>
            </w:r>
            <w:r>
              <w:rPr>
                <w:rFonts w:hint="eastAsia" w:ascii="宋体" w:hAnsi="宋体" w:eastAsia="宋体" w:cs="宋体"/>
                <w:color w:val="auto"/>
                <w:sz w:val="24"/>
                <w:szCs w:val="24"/>
                <w:highlight w:val="none"/>
                <w:vertAlign w:val="baseline"/>
                <w:lang w:val="en-US" w:eastAsia="zh-CN"/>
              </w:rPr>
              <w:t xml:space="preserve">㎡</w:t>
            </w:r>
            <w:r>
              <w:rPr>
                <w:rFonts w:hint="eastAsia" w:ascii="宋体" w:hAnsi="宋体" w:cs="宋体"/>
                <w:color w:val="auto"/>
                <w:sz w:val="24"/>
                <w:szCs w:val="24"/>
                <w:highlight w:val="none"/>
                <w:vertAlign w:val="baseline"/>
                <w:lang w:val="en-US" w:eastAsia="zh-CN"/>
              </w:rPr>
              <w:t xml:space="preserve">，</w:t>
            </w:r>
            <w:r/>
          </w:p>
          <w:p>
            <w:pPr>
              <w:numPr>
                <w:ilvl w:val="0"/>
                <w:numId w:val="0"/>
              </w:numPr>
              <w:jc w:val="center"/>
              <w:keepLines w:val="0"/>
              <w:keepNext w:val="0"/>
              <w:pageBreakBefore w:val="0"/>
              <w:spacing w:line="36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停车位40个</w:t>
            </w:r>
            <w:r/>
          </w:p>
        </w:tc>
        <w:tc>
          <w:tcPr>
            <w:tcW w:w="3309"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详见项目需求“第3.2条保洁服务”</w:t>
            </w:r>
            <w:r/>
          </w:p>
        </w:tc>
      </w:tr>
      <w:tr>
        <w:trPr>
          <w:trHeight w:val="454"/>
        </w:trPr>
        <w:tc>
          <w:tcPr>
            <w:tcW w:w="2561" w:type="dxa"/>
            <w:vAlign w:val="center"/>
            <w:textDirection w:val="lrTb"/>
            <w:noWrap w:val="false"/>
          </w:tcPr>
          <w:p>
            <w:pPr>
              <w:numPr>
                <w:ilvl w:val="0"/>
                <w:numId w:val="0"/>
              </w:numPr>
              <w:jc w:val="center"/>
              <w:keepLines w:val="0"/>
              <w:keepNext w:val="0"/>
              <w:pageBreakBefore w:val="0"/>
              <w:spacing w:line="36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医院前后庭院</w:t>
            </w:r>
            <w:r/>
          </w:p>
        </w:tc>
        <w:tc>
          <w:tcPr>
            <w:tcW w:w="2758" w:type="dxa"/>
            <w:vAlign w:val="center"/>
            <w:textDirection w:val="lrTb"/>
            <w:noWrap w:val="false"/>
          </w:tcPr>
          <w:p>
            <w:pPr>
              <w:numPr>
                <w:ilvl w:val="0"/>
                <w:numId w:val="0"/>
              </w:numPr>
              <w:jc w:val="center"/>
              <w:keepLines w:val="0"/>
              <w:keepNext w:val="0"/>
              <w:pageBreakBefore w:val="0"/>
              <w:spacing w:line="36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10000</w:t>
            </w:r>
            <w:r>
              <w:rPr>
                <w:rFonts w:hint="eastAsia" w:ascii="宋体" w:hAnsi="宋体" w:eastAsia="宋体" w:cs="宋体"/>
                <w:color w:val="auto"/>
                <w:sz w:val="24"/>
                <w:szCs w:val="24"/>
                <w:highlight w:val="none"/>
                <w:vertAlign w:val="baseline"/>
                <w:lang w:val="en-US" w:eastAsia="zh-CN"/>
              </w:rPr>
              <w:t xml:space="preserve">㎡</w:t>
            </w:r>
            <w:r/>
          </w:p>
        </w:tc>
        <w:tc>
          <w:tcPr>
            <w:tcW w:w="3309" w:type="dxa"/>
            <w:vAlign w:val="center"/>
            <w:textDirection w:val="lrTb"/>
            <w:noWrap w:val="false"/>
          </w:tcPr>
          <w:p>
            <w:pPr>
              <w:numPr>
                <w:ilvl w:val="0"/>
                <w:numId w:val="0"/>
              </w:numPr>
              <w:jc w:val="center"/>
              <w:keepLines w:val="0"/>
              <w:keepNext w:val="0"/>
              <w:pageBreakBefore w:val="0"/>
              <w:spacing w:line="36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详见项目需求“第3.2条保洁服务”</w:t>
            </w:r>
            <w:r/>
          </w:p>
        </w:tc>
      </w:tr>
    </w:tbl>
    <w:p>
      <w:pPr>
        <w:pStyle w:val="779"/>
        <w:ind w:left="0" w:firstLine="480"/>
        <w:pageBreakBefore w:val="0"/>
        <w:spacing w:line="520" w:lineRule="exact"/>
        <w:rPr>
          <w:rFonts w:hint="default" w:ascii="宋体" w:hAnsi="宋体" w:eastAsia="Arial" w:cs="宋体"/>
          <w:b/>
          <w:bCs/>
          <w:color w:val="000000"/>
          <w:sz w:val="24"/>
          <w:szCs w:val="20"/>
          <w:lang w:val="en-US" w:eastAsia="zh-CN" w:bidi="ar-SA"/>
        </w:rPr>
      </w:pPr>
      <w:r>
        <w:rPr>
          <w:rFonts w:hint="eastAsia" w:ascii="宋体" w:hAnsi="宋体" w:eastAsia="Arial" w:cs="宋体"/>
          <w:b/>
          <w:bCs/>
          <w:color w:val="000000"/>
          <w:sz w:val="24"/>
          <w:szCs w:val="20"/>
          <w:lang w:val="en-US" w:eastAsia="zh-CN" w:bidi="ar-SA"/>
        </w:rPr>
        <w:t xml:space="preserve">3、物业管理服务内容及标准</w:t>
      </w:r>
      <w:r/>
    </w:p>
    <w:p>
      <w:pPr>
        <w:ind w:firstLine="440"/>
        <w:pageBreakBefore w:val="0"/>
        <w:spacing w:line="520" w:lineRule="exact"/>
        <w:rPr>
          <w:rFonts w:hint="eastAsia" w:ascii="宋体" w:hAnsi="宋体" w:eastAsia="Arial" w:cs="宋体"/>
          <w:b w:val="0"/>
          <w:bCs w:val="0"/>
          <w:color w:val="000000"/>
          <w:sz w:val="24"/>
          <w:szCs w:val="20"/>
          <w:lang w:val="en-US" w:eastAsia="zh-CN" w:bidi="ar-SA"/>
        </w:rPr>
        <w:outlineLvl w:val="9"/>
      </w:pPr>
      <w:r>
        <w:rPr>
          <w:rFonts w:hint="eastAsia" w:ascii="宋体" w:hAnsi="宋体" w:eastAsia="Arial" w:cs="宋体"/>
          <w:b w:val="0"/>
          <w:bCs w:val="0"/>
          <w:color w:val="000000"/>
          <w:sz w:val="24"/>
          <w:szCs w:val="20"/>
          <w:lang w:val="en-US" w:eastAsia="zh-CN" w:bidi="ar-SA"/>
        </w:rPr>
        <w:t xml:space="preserve">物业管理服务包括基本服务、医院室内外保洁服务、陪检服务、配送服务、医技工勤服务、后勤技术服务（水电维修服务、消毒服务、导医服务）、窗口收费服务、医疗废弃物收集等。</w:t>
      </w:r>
      <w:bookmarkEnd w:id="7"/>
      <w:r/>
      <w:bookmarkEnd w:id="8"/>
      <w:r/>
      <w:bookmarkStart w:id="9" w:name="_Toc26156"/>
      <w:r/>
      <w:bookmarkStart w:id="10" w:name="_Toc10498"/>
      <w:r/>
      <w:bookmarkStart w:id="11" w:name="_Toc26485"/>
      <w:r/>
      <w:r/>
    </w:p>
    <w:p>
      <w:pPr>
        <w:ind w:firstLine="440"/>
        <w:pageBreakBefore w:val="0"/>
        <w:spacing w:line="520" w:lineRule="exact"/>
        <w:rPr>
          <w:rFonts w:hint="eastAsia" w:ascii="宋体" w:hAnsi="宋体" w:eastAsia="Arial" w:cs="宋体"/>
          <w:b/>
          <w:bCs/>
          <w:color w:val="000000"/>
          <w:sz w:val="24"/>
          <w:szCs w:val="20"/>
          <w:lang w:val="en-US" w:eastAsia="zh-CN" w:bidi="ar-SA"/>
        </w:rPr>
        <w:outlineLvl w:val="9"/>
      </w:pPr>
      <w:r>
        <w:rPr>
          <w:rFonts w:hint="eastAsia" w:ascii="宋体" w:hAnsi="宋体" w:eastAsia="Arial" w:cs="宋体"/>
          <w:b/>
          <w:bCs/>
          <w:color w:val="000000"/>
          <w:sz w:val="24"/>
          <w:szCs w:val="20"/>
          <w:lang w:val="en-US" w:eastAsia="zh-CN" w:bidi="ar-SA"/>
        </w:rPr>
        <w:t xml:space="preserve">3.</w:t>
      </w:r>
      <w:bookmarkEnd w:id="9"/>
      <w:r/>
      <w:bookmarkEnd w:id="10"/>
      <w:r/>
      <w:bookmarkEnd w:id="11"/>
      <w:r>
        <w:rPr>
          <w:rFonts w:hint="eastAsia" w:ascii="宋体" w:hAnsi="宋体" w:eastAsia="Arial" w:cs="宋体"/>
          <w:b/>
          <w:bCs/>
          <w:color w:val="000000"/>
          <w:sz w:val="24"/>
          <w:szCs w:val="20"/>
          <w:lang w:val="en-US" w:eastAsia="zh-CN" w:bidi="ar-SA"/>
        </w:rPr>
        <w:t xml:space="preserve">1基本服务</w:t>
      </w:r>
      <w:r/>
    </w:p>
    <w:tbl>
      <w:tblPr>
        <w:tblStyle w:val="808"/>
        <w:tblW w:w="49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183"/>
        <w:gridCol w:w="6798"/>
      </w:tblGrid>
      <w:tr>
        <w:trPr>
          <w:jc w:val="center"/>
          <w:trHeight w:val="633"/>
        </w:trPr>
        <w:tc>
          <w:tcPr>
            <w:tcW w:w="737" w:type="dxa"/>
            <w:vAlign w:val="center"/>
            <w:textDirection w:val="lrTb"/>
            <w:noWrap w:val="false"/>
          </w:tcPr>
          <w:p>
            <w:pPr>
              <w:jc w:val="center"/>
              <w:keepLines w:val="0"/>
              <w:keepNext w:val="0"/>
              <w:pageBreakBefore w:val="0"/>
              <w:spacing w:line="500" w:lineRule="exact"/>
              <w:rPr>
                <w:rFonts w:hint="eastAsia" w:ascii="宋体" w:hAnsi="宋体" w:eastAsia="宋体" w:cstheme="minorEastAsia"/>
                <w:b/>
                <w:bCs w:val="0"/>
                <w:sz w:val="24"/>
                <w:lang w:val="en-US" w:eastAsia="zh-CN" w:bidi="ar"/>
              </w:rPr>
            </w:pPr>
            <w:r>
              <w:rPr>
                <w:rFonts w:hint="eastAsia" w:ascii="宋体" w:hAnsi="宋体" w:eastAsia="宋体" w:cstheme="minorEastAsia"/>
                <w:b/>
                <w:bCs w:val="0"/>
                <w:sz w:val="24"/>
                <w:lang w:val="en-US" w:eastAsia="zh-CN" w:bidi="ar"/>
              </w:rPr>
              <w:t xml:space="preserve">序号</w:t>
            </w:r>
            <w:r/>
          </w:p>
        </w:tc>
        <w:tc>
          <w:tcPr>
            <w:tcW w:w="1183" w:type="dxa"/>
            <w:vAlign w:val="center"/>
            <w:textDirection w:val="lrTb"/>
            <w:noWrap w:val="false"/>
          </w:tcPr>
          <w:p>
            <w:pPr>
              <w:jc w:val="center"/>
              <w:keepLines w:val="0"/>
              <w:keepNext w:val="0"/>
              <w:pageBreakBefore w:val="0"/>
              <w:spacing w:line="500" w:lineRule="exact"/>
              <w:rPr>
                <w:rFonts w:hint="eastAsia" w:ascii="宋体" w:hAnsi="宋体" w:eastAsia="宋体" w:cstheme="minorEastAsia"/>
                <w:b/>
                <w:bCs w:val="0"/>
                <w:sz w:val="24"/>
                <w:lang w:bidi="ar"/>
              </w:rPr>
            </w:pPr>
            <w:r>
              <w:rPr>
                <w:rFonts w:hint="eastAsia" w:ascii="宋体" w:hAnsi="宋体" w:eastAsia="宋体" w:cstheme="minorEastAsia"/>
                <w:b/>
                <w:bCs w:val="0"/>
                <w:sz w:val="24"/>
                <w:lang w:bidi="ar"/>
              </w:rPr>
              <w:t xml:space="preserve">服务内容</w:t>
            </w:r>
            <w:r/>
          </w:p>
        </w:tc>
        <w:tc>
          <w:tcPr>
            <w:tcW w:w="6798" w:type="dxa"/>
            <w:vAlign w:val="center"/>
            <w:textDirection w:val="lrTb"/>
            <w:noWrap w:val="false"/>
          </w:tcPr>
          <w:p>
            <w:pPr>
              <w:jc w:val="center"/>
              <w:keepLines w:val="0"/>
              <w:keepNext w:val="0"/>
              <w:pageBreakBefore w:val="0"/>
              <w:spacing w:line="500" w:lineRule="exact"/>
              <w:rPr>
                <w:rFonts w:hint="eastAsia" w:ascii="宋体" w:hAnsi="宋体" w:eastAsia="宋体" w:cstheme="minorEastAsia"/>
                <w:b/>
                <w:bCs w:val="0"/>
                <w:sz w:val="24"/>
                <w:lang w:val="en-US" w:eastAsia="zh-CN" w:bidi="ar"/>
              </w:rPr>
            </w:pPr>
            <w:r>
              <w:rPr>
                <w:rFonts w:hint="eastAsia" w:ascii="宋体" w:hAnsi="宋体" w:eastAsia="宋体" w:cstheme="minorEastAsia"/>
                <w:b/>
                <w:bCs w:val="0"/>
                <w:sz w:val="24"/>
                <w:lang w:val="en-US" w:eastAsia="zh-CN" w:bidi="ar"/>
              </w:rPr>
              <w:t xml:space="preserve">服务标准</w:t>
            </w:r>
            <w:r/>
          </w:p>
        </w:tc>
      </w:tr>
      <w:tr>
        <w:trPr>
          <w:jc w:val="center"/>
          <w:trHeight w:val="719"/>
        </w:trPr>
        <w:tc>
          <w:tcPr>
            <w:tcW w:w="737"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tcW w:w="1183"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bidi="ar"/>
              </w:rPr>
            </w:pPr>
            <w:r>
              <w:rPr>
                <w:rFonts w:hint="eastAsia" w:ascii="宋体" w:hAnsi="宋体" w:eastAsia="宋体" w:cs="宋体"/>
                <w:bCs/>
                <w:sz w:val="24"/>
                <w:lang w:val="en-US" w:eastAsia="zh-CN" w:bidi="ar"/>
              </w:rPr>
              <w:t xml:space="preserve">物业管理目标与 责任</w:t>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结合采购人要求及物业服务实际情况，制定年度管理目标，明确责任分工，并制定配套实施方案。</w:t>
            </w:r>
            <w:r/>
          </w:p>
        </w:tc>
      </w:tr>
      <w:tr>
        <w:trPr>
          <w:jc w:val="center"/>
          <w:trHeight w:val="860"/>
        </w:trPr>
        <w:tc>
          <w:tcPr>
            <w:tcW w:w="737"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2</w:t>
            </w:r>
            <w:r/>
          </w:p>
        </w:tc>
        <w:tc>
          <w:tcPr>
            <w:tcW w:w="1183"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服务人 员要求</w:t>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（1）每季度至少开展1次岗位技能、职业素质、服务知识、客户文化、绿色节能环保等教育培训，并进行适当形式的考核。</w:t>
            </w:r>
            <w:r/>
          </w:p>
        </w:tc>
      </w:tr>
      <w:tr>
        <w:trPr>
          <w:jc w:val="center"/>
          <w:trHeight w:val="577"/>
        </w:trPr>
        <w:tc>
          <w:tcPr>
            <w:tcW w:w="737"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3"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（2）根据采购人要求对服务人员进行从业资格审查，审查结果向采购人报备。</w:t>
            </w:r>
            <w:r/>
          </w:p>
        </w:tc>
      </w:tr>
      <w:tr>
        <w:trPr>
          <w:jc w:val="center"/>
          <w:trHeight w:val="1427"/>
        </w:trPr>
        <w:tc>
          <w:tcPr>
            <w:tcW w:w="737"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3"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服务人员的年龄、学历、工作经验及资格条件应当与所在岗位能力要求相匹配，服务人员没有刑事犯罪记录，到岗前应当经过必要的岗前培训以达到岗位能力要求，国家、行业规定应当取得职业资格证书或特种作业证书的，应当按规定持证上岗。</w:t>
            </w:r>
            <w:r/>
          </w:p>
        </w:tc>
      </w:tr>
      <w:tr>
        <w:trPr>
          <w:jc w:val="center"/>
          <w:trHeight w:val="1427"/>
        </w:trPr>
        <w:tc>
          <w:tcPr>
            <w:tcW w:w="737"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3"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jc w:val="center"/>
          <w:trHeight w:val="577"/>
        </w:trPr>
        <w:tc>
          <w:tcPr>
            <w:tcW w:w="737"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3"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（5）着装分类统一，佩戴标识。仪容整洁、姿态端正、举止文明。用语文明礼貌，态度温和耐心。</w:t>
            </w:r>
            <w:r/>
          </w:p>
        </w:tc>
      </w:tr>
      <w:tr>
        <w:trPr>
          <w:jc w:val="center"/>
          <w:trHeight w:val="577"/>
        </w:trPr>
        <w:tc>
          <w:tcPr>
            <w:tcW w:w="737"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3</w:t>
            </w:r>
            <w:r/>
          </w:p>
        </w:tc>
        <w:tc>
          <w:tcPr>
            <w:tcW w:w="1183"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保密和思想政治 教育</w:t>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（1）建立保密管理制度。制度内容应当包括但不限于：①明确重点要害岗位保密职责。②对涉密工作岗位的保密要求。</w:t>
            </w:r>
            <w:r/>
          </w:p>
        </w:tc>
      </w:tr>
      <w:tr>
        <w:trPr>
          <w:jc w:val="center"/>
          <w:trHeight w:val="577"/>
        </w:trPr>
        <w:tc>
          <w:tcPr>
            <w:tcW w:w="737"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183"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（2）根据采购人要求与涉密工作岗位的服务人员签订保密协议。保密协议应当向采购人报备。</w:t>
            </w:r>
            <w:r/>
          </w:p>
        </w:tc>
      </w:tr>
      <w:tr>
        <w:trPr>
          <w:jc w:val="center"/>
          <w:trHeight w:val="1144"/>
        </w:trPr>
        <w:tc>
          <w:tcPr>
            <w:tcW w:w="737"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183"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jc w:val="center"/>
          <w:trHeight w:val="577"/>
        </w:trPr>
        <w:tc>
          <w:tcPr>
            <w:tcW w:w="737"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183"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（4）发现服务人员违法违规或重大过失，及时报告采购人，并采取必要补救措施。</w:t>
            </w:r>
            <w:r/>
          </w:p>
        </w:tc>
      </w:tr>
      <w:tr>
        <w:trPr>
          <w:jc w:val="center"/>
          <w:trHeight w:val="577"/>
        </w:trPr>
        <w:tc>
          <w:tcPr>
            <w:tcW w:w="737"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4</w:t>
            </w:r>
            <w:r/>
          </w:p>
        </w:tc>
        <w:tc>
          <w:tcPr>
            <w:tcW w:w="1183"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档案管理</w:t>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（1）建立物业信息，准确、及时地对文件资料和服务记录进行归档保存，并确保其物理安全。</w:t>
            </w:r>
            <w:r/>
          </w:p>
        </w:tc>
      </w:tr>
      <w:tr>
        <w:trPr>
          <w:jc w:val="center"/>
          <w:trHeight w:val="1710"/>
        </w:trPr>
        <w:tc>
          <w:tcPr>
            <w:tcW w:w="737"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183"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档案和记录齐全，包括但不限于：①采购人建议与投诉等。教育培训和考核记录。保密、思想政治教育培训记录。②保洁服务：工作日志、清洁检查表、用品清单、客户反馈表等。③陪检配送服务：工作日志。④医技工勤服务：工作日志等。⑤后勤技术服务：设施设备巡查日志、消毒记录等。⑥导医服务：工作日志、客户反馈表等。</w:t>
            </w:r>
            <w:r/>
          </w:p>
        </w:tc>
      </w:tr>
      <w:tr>
        <w:trPr>
          <w:jc w:val="center"/>
          <w:trHeight w:val="860"/>
        </w:trPr>
        <w:tc>
          <w:tcPr>
            <w:tcW w:w="737"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183"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（3）遵守采购人的信息、档案资料保密要求，未经许可，不得将建筑物平面图等资料转作其他用途或向其他单位、个人提供。</w:t>
            </w:r>
            <w:r/>
          </w:p>
        </w:tc>
      </w:tr>
      <w:tr>
        <w:trPr>
          <w:jc w:val="center"/>
          <w:trHeight w:val="577"/>
        </w:trPr>
        <w:tc>
          <w:tcPr>
            <w:tcW w:w="737"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183"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（4）履约结束后，相关资料交还采购人，采购人按政府采购相关规定存档。</w:t>
            </w:r>
            <w:r/>
          </w:p>
        </w:tc>
      </w:tr>
      <w:tr>
        <w:trPr>
          <w:jc w:val="center"/>
          <w:trHeight w:val="577"/>
        </w:trPr>
        <w:tc>
          <w:tcPr>
            <w:tcW w:w="737"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5</w:t>
            </w:r>
            <w:r/>
          </w:p>
        </w:tc>
        <w:tc>
          <w:tcPr>
            <w:tcW w:w="1183"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服务改进</w:t>
            </w:r>
            <w:r/>
          </w:p>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（1）明确负责人，定期对物业服务过程进行自查，结合反馈意见与评价结果采取改进措施，持续提升管理与服务水平。</w:t>
            </w:r>
            <w:r/>
          </w:p>
        </w:tc>
      </w:tr>
      <w:tr>
        <w:trPr>
          <w:jc w:val="center"/>
          <w:trHeight w:val="860"/>
        </w:trPr>
        <w:tc>
          <w:tcPr>
            <w:tcW w:w="737" w:type="dxa"/>
            <w:vAlign w:val="center"/>
            <w:vMerge w:val="continue"/>
            <w:textDirection w:val="lrTb"/>
            <w:noWrap w:val="false"/>
          </w:tcPr>
          <w:p>
            <w:pPr>
              <w:numPr>
                <w:ilvl w:val="0"/>
                <w:numId w:val="0"/>
              </w:numPr>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3" w:type="dxa"/>
            <w:vAlign w:val="center"/>
            <w:vMerge w:val="continue"/>
            <w:textDirection w:val="lrTb"/>
            <w:noWrap w:val="false"/>
          </w:tcPr>
          <w:p>
            <w:pPr>
              <w:numPr>
                <w:ilvl w:val="0"/>
                <w:numId w:val="0"/>
              </w:numPr>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（2）对不合格服务进行控制，对不合格服务的原因进行识别和分析，及时采取纠正措施，消除不合格的原因，防止不合格再发生。</w:t>
            </w:r>
            <w:r/>
          </w:p>
        </w:tc>
      </w:tr>
      <w:tr>
        <w:trPr>
          <w:jc w:val="center"/>
          <w:trHeight w:val="461"/>
        </w:trPr>
        <w:tc>
          <w:tcPr>
            <w:tcW w:w="737"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3"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（3）需整改问题及时整改完成。</w:t>
            </w:r>
            <w:r/>
          </w:p>
        </w:tc>
      </w:tr>
      <w:tr>
        <w:trPr>
          <w:jc w:val="center"/>
          <w:trHeight w:val="1427"/>
        </w:trPr>
        <w:tc>
          <w:tcPr>
            <w:tcW w:w="737"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6</w:t>
            </w:r>
            <w:r/>
          </w:p>
        </w:tc>
        <w:tc>
          <w:tcPr>
            <w:tcW w:w="1183"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应急保障预案</w:t>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jc w:val="center"/>
          <w:trHeight w:val="461"/>
        </w:trPr>
        <w:tc>
          <w:tcPr>
            <w:tcW w:w="737"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83"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（2）应急预案的建立。根据办公楼隐患排查的结果和实际情况，制定专项预案，包括但不限于：火情火警紧急处理应急预案、紧急疏散应急预案、停水停电应急预案、突发传染病应急预案等。</w:t>
            </w:r>
            <w:r/>
          </w:p>
        </w:tc>
      </w:tr>
      <w:tr>
        <w:trPr>
          <w:jc w:val="center"/>
          <w:trHeight w:val="1144"/>
        </w:trPr>
        <w:tc>
          <w:tcPr>
            <w:tcW w:w="737"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83"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jc w:val="center"/>
          <w:trHeight w:val="1144"/>
        </w:trPr>
        <w:tc>
          <w:tcPr>
            <w:tcW w:w="737"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183"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jc w:val="center"/>
          <w:trHeight w:val="577"/>
        </w:trPr>
        <w:tc>
          <w:tcPr>
            <w:tcW w:w="737"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7</w:t>
            </w:r>
            <w:r/>
          </w:p>
        </w:tc>
        <w:tc>
          <w:tcPr>
            <w:tcW w:w="1183"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服务方案及工作 制度</w:t>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（1）制定工作制度，主要包括：人员录用制度、档案管理制度、物业服务管理制度、公用设施设备相关管理制度等。</w:t>
            </w:r>
            <w:r/>
          </w:p>
        </w:tc>
      </w:tr>
      <w:tr>
        <w:trPr>
          <w:jc w:val="center"/>
          <w:trHeight w:val="577"/>
        </w:trPr>
        <w:tc>
          <w:tcPr>
            <w:tcW w:w="737"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3"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（2）制定项目实施方案，主要包括：交接方案、人员培训方案、人员稳定性方案、保密方案等。</w:t>
            </w:r>
            <w:r/>
          </w:p>
        </w:tc>
      </w:tr>
      <w:tr>
        <w:trPr>
          <w:jc w:val="center"/>
          <w:trHeight w:val="870"/>
        </w:trPr>
        <w:tc>
          <w:tcPr>
            <w:tcW w:w="737"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183"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6798" w:type="dxa"/>
            <w:vAlign w:val="center"/>
            <w:textDirection w:val="lrTb"/>
            <w:noWrap w:val="false"/>
          </w:tcPr>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（3）制定物业服务方案，主要包括：保洁服务方案、陪检配送服务方案、医技工勤服务方案、后勤技术服务方案、导医服务方案、医疗废弃物收集方案等。</w:t>
            </w:r>
            <w:r/>
          </w:p>
        </w:tc>
      </w:tr>
    </w:tbl>
    <w:p>
      <w:pPr>
        <w:pStyle w:val="780"/>
        <w:ind w:left="0" w:firstLine="0"/>
        <w:rPr>
          <w:rFonts w:hint="eastAsia" w:ascii="宋体" w:hAnsi="宋体" w:eastAsia="Arial" w:cs="宋体"/>
          <w:b/>
          <w:bCs/>
          <w:color w:val="000000"/>
          <w:sz w:val="24"/>
          <w:szCs w:val="20"/>
          <w:lang w:val="en-US" w:eastAsia="zh-CN" w:bidi="ar-SA"/>
        </w:rPr>
      </w:pPr>
      <w:r>
        <w:rPr>
          <w:rFonts w:hint="eastAsia" w:ascii="宋体" w:hAnsi="宋体" w:eastAsia="Arial" w:cs="宋体"/>
          <w:b/>
          <w:bCs/>
          <w:color w:val="000000"/>
          <w:sz w:val="24"/>
          <w:szCs w:val="20"/>
          <w:lang w:val="en-US" w:eastAsia="zh-CN" w:bidi="ar-SA"/>
        </w:rPr>
      </w:r>
      <w:r/>
    </w:p>
    <w:p>
      <w:pPr>
        <w:pStyle w:val="780"/>
        <w:ind w:firstLine="47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3.1物业管理整体方案要求</w:t>
      </w:r>
      <w:r/>
    </w:p>
    <w:tbl>
      <w:tblPr>
        <w:tblStyle w:val="808"/>
        <w:tblW w:w="4905"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200"/>
        <w:gridCol w:w="6761"/>
      </w:tblGrid>
      <w:tr>
        <w:trPr>
          <w:trHeight w:val="360"/>
        </w:trPr>
        <w:tc>
          <w:tcPr>
            <w:tcW w:w="727" w:type="dxa"/>
            <w:vAlign w:val="center"/>
            <w:textDirection w:val="lrTb"/>
            <w:noWrap w:val="false"/>
          </w:tcPr>
          <w:p>
            <w:pPr>
              <w:numPr>
                <w:ilvl w:val="0"/>
                <w:numId w:val="0"/>
              </w:numPr>
              <w:ind w:left="0" w:firstLine="0"/>
              <w:jc w:val="center"/>
              <w:keepLines w:val="0"/>
              <w:keepNext w:val="0"/>
              <w:pageBreakBefore w:val="0"/>
              <w:spacing w:line="400" w:lineRule="exact"/>
              <w:widowControl/>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序号</w:t>
            </w:r>
            <w:r/>
          </w:p>
        </w:tc>
        <w:tc>
          <w:tcPr>
            <w:tcW w:w="1200" w:type="dxa"/>
            <w:vAlign w:val="center"/>
            <w:textDirection w:val="lrTb"/>
            <w:noWrap w:val="false"/>
          </w:tcPr>
          <w:p>
            <w:pPr>
              <w:numPr>
                <w:ilvl w:val="0"/>
                <w:numId w:val="0"/>
              </w:numPr>
              <w:ind w:left="0" w:firstLine="0"/>
              <w:jc w:val="center"/>
              <w:keepLines w:val="0"/>
              <w:keepNext w:val="0"/>
              <w:pageBreakBefore w:val="0"/>
              <w:spacing w:line="400" w:lineRule="exact"/>
              <w:widowControl/>
              <w:rPr>
                <w:rFonts w:hint="default" w:ascii="宋体" w:hAnsi="宋体" w:eastAsia="宋体" w:cs="宋体"/>
                <w:b/>
                <w:bCs/>
                <w:sz w:val="24"/>
                <w:szCs w:val="24"/>
                <w:highlight w:val="none"/>
                <w:lang w:val="en-US" w:eastAsia="zh-CN"/>
              </w:rPr>
            </w:pPr>
            <w:r>
              <w:rPr>
                <w:rFonts w:hint="default" w:ascii="宋体" w:hAnsi="宋体" w:eastAsia="宋体" w:cs="宋体"/>
                <w:b/>
                <w:bCs/>
                <w:sz w:val="24"/>
                <w:szCs w:val="24"/>
                <w:highlight w:val="none"/>
                <w:lang w:val="en-US" w:eastAsia="zh-CN"/>
              </w:rPr>
              <w:t xml:space="preserve">物业管理目标与责任要求</w:t>
            </w:r>
            <w:r/>
          </w:p>
        </w:tc>
        <w:tc>
          <w:tcPr>
            <w:tcW w:w="6761"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相关要求说明</w:t>
            </w:r>
            <w:r/>
          </w:p>
        </w:tc>
      </w:tr>
      <w:tr>
        <w:trPr>
          <w:trHeight w:val="932"/>
        </w:trPr>
        <w:tc>
          <w:tcPr>
            <w:shd w:val="clear" w:color="auto" w:fill="auto"/>
            <w:tcW w:w="727"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shd w:val="clear" w:color="auto" w:fill="auto"/>
            <w:tcW w:w="1200"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总体要求</w:t>
            </w:r>
            <w:r/>
          </w:p>
        </w:tc>
        <w:tc>
          <w:tcPr>
            <w:shd w:val="clear" w:color="auto" w:fill="auto"/>
            <w:tcW w:w="6761"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为做好盐城市第一人民医院五官科医院医疗场所物业服务管理，按照市场化运作，切实履行物业承包合同，使盐城市第一人民医院物业管理工作标准化、制度化、规范化，创建优美、整洁、安全、方便、舒适、文明的医疗就诊环境，树立良好的服务形象，保证物资配送到位、陪检规范、辅助护理工作到位，确保环境整洁优美，不断完善物业管理工作，提高服务保障工作水平。</w:t>
            </w:r>
            <w:r/>
          </w:p>
        </w:tc>
      </w:tr>
      <w:tr>
        <w:trPr>
          <w:trHeight w:val="932"/>
        </w:trPr>
        <w:tc>
          <w:tcPr>
            <w:tcW w:w="727"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2</w:t>
            </w:r>
            <w:r/>
          </w:p>
        </w:tc>
        <w:tc>
          <w:tcPr>
            <w:tcW w:w="1200"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物业管理目标</w:t>
            </w:r>
            <w:r/>
          </w:p>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761"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保障医院正常运转、提升医疗服务质量，需围绕 “高效、洁净、舒适、专业” 四大核心目标。</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（1）提升运营效率，支撑医疗流程。</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后勤保障高效化：优化保洁、维修、物资配送等流程，例如：保洁人员按“污染区-半污染区-清洁区”的顺序作业，避免交叉感染，同时确保诊室、病房在患者轮换间隙快速清洁消毒；</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工程维修团队实行“紧急报修10分钟响应、2小时内处理、24小时值班机制；常规报修12小时作出响应”，保障医疗器械、水电系统等及时恢复使用；</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协助医院进行标本送检、病院陪检、单据递送、急救病人搬运、物资（如药品、耗材、被服）的运输和分发等工作，减少医护人员非医疗工作负担。</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（2）维持洁净环境，符合医疗标准。</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1）清洁与消毒专业化：严格遵循《医院消毒卫生标准》，对不同区域采取差异化清洁措施。</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普通病房：每日清洁消毒，更换床单位，对高频接触表面（门把手、床头柜）进行擦拭消毒；</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手术室、产房：采用“术前彻底消毒+术后终末消毒”模式，使用符合医疗标准的消毒剂（如含氯消毒剂），并定期进行环境微生物检测；</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医疗废物收集：按规范收集、暂存、转运医疗废物（如针管、感染性敷料），避免环境污染和交叉感染。</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2）环境指标达标：控制病房、手术室的温湿度（如手术室温度保持在22-25℃、噪声（白天≤55分贝，夜间≤40分贝）、空气质量（定期通风或使用新风系统），为患者提供适宜的康复环境。</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（3）强化专业服务能力，适配医院特殊性。</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人员专业化：物业团队需具备医疗相关知识，例如：保洁、维修人员需接受院感防控培训（如穿脱防护服、医疗废物分类）；特殊区域（如 ICU、放射科）的物业人员需掌握辐射防护、无菌操作等基础技能。</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应急响应专业化：配合医院制定应急预案（如火灾、停电、突发传染病），在紧急情况下快速联动，例如：停电时协助启动备用电源，疫情期间协助搭建隔离通道、进行环境消杀。</w:t>
            </w:r>
            <w:r/>
          </w:p>
        </w:tc>
      </w:tr>
      <w:tr>
        <w:trPr>
          <w:trHeight w:val="932"/>
        </w:trPr>
        <w:tc>
          <w:tcPr>
            <w:tcW w:w="727"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3</w:t>
            </w:r>
            <w:r/>
          </w:p>
        </w:tc>
        <w:tc>
          <w:tcPr>
            <w:tcW w:w="1200"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物业管理服务的重点和难点</w:t>
            </w:r>
            <w:r/>
          </w:p>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761"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院感防控类服务</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清洁消毒服务：需按区域分级制定标准—普通病房（每日2次清洁，高频接触面每4 小时消毒1次，使用含氯消毒剂浓度 500mg/L）、手术室（术后30分钟内完成终末消毒，使用含氯消毒剂消毒，环境微生物检测≤5cfu/皿）、污水与医疗废物处理（医疗废物需分类收集、48小时内转运。​</w:t>
            </w:r>
            <w:r/>
          </w:p>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环境指标控制服务：明确病房温湿度（夏季 24-26℃，冬季 20-22℃，湿度 40%-60%）、噪声（门诊≤60分贝，病房夜间≤40分贝）、空气质量（每月检测 PM2.5≤35μg/m³，细菌总数≤4cfu/皿）的量化要求。</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 w:val="0"/>
                <w:bCs w:val="0"/>
                <w:color w:val="auto"/>
                <w:spacing w:val="-5"/>
                <w:sz w:val="22"/>
                <w:szCs w:val="22"/>
                <w:highlight w:val="none"/>
                <w:lang w:val="en-US" w:eastAsia="zh-CN" w:bidi="ar-SA"/>
              </w:rPr>
            </w:pPr>
            <w:r>
              <w:rPr>
                <w:rFonts w:hint="eastAsia" w:ascii="宋体" w:hAnsi="宋体" w:eastAsia="宋体" w:cs="宋体"/>
                <w:bCs/>
                <w:sz w:val="24"/>
                <w:lang w:val="en-US" w:eastAsia="zh-CN"/>
              </w:rPr>
              <w:t xml:space="preserve">物资流转服务：药品/耗材转运需配备恒温转运箱（冷藏药品温度控制在2-8℃），每日定时配送，误差不超过30分钟。</w:t>
            </w:r>
            <w:r/>
          </w:p>
        </w:tc>
      </w:tr>
    </w:tbl>
    <w:p>
      <w:pPr>
        <w:pStyle w:val="780"/>
        <w:rPr>
          <w:rFonts w:hint="eastAsia" w:ascii="宋体" w:hAnsi="宋体" w:cs="宋体"/>
          <w:sz w:val="22"/>
          <w:szCs w:val="21"/>
          <w:highlight w:val="none"/>
          <w:lang w:val="en-US" w:eastAsia="zh-CN"/>
        </w:rPr>
      </w:pPr>
      <w:r>
        <w:rPr>
          <w:rFonts w:hint="eastAsia" w:ascii="宋体" w:hAnsi="宋体" w:cs="宋体"/>
          <w:sz w:val="22"/>
          <w:szCs w:val="21"/>
          <w:highlight w:val="none"/>
          <w:lang w:val="en-US" w:eastAsia="zh-CN"/>
        </w:rPr>
      </w:r>
      <w:r/>
    </w:p>
    <w:p>
      <w:pPr>
        <w:pStyle w:val="780"/>
        <w:ind w:firstLine="47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3.2专项实施要求</w:t>
      </w:r>
      <w:r/>
    </w:p>
    <w:tbl>
      <w:tblPr>
        <w:tblStyle w:val="808"/>
        <w:tblW w:w="4892"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292"/>
        <w:gridCol w:w="6635"/>
      </w:tblGrid>
      <w:tr>
        <w:trPr>
          <w:trHeight w:val="548"/>
        </w:trPr>
        <w:tc>
          <w:tcPr>
            <w:tcW w:w="738"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292"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635"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38"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手术室管理要求</w:t>
            </w:r>
            <w:r/>
          </w:p>
        </w:tc>
        <w:tc>
          <w:tcPr>
            <w:tcW w:w="6635"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在护士长领导下，接受护士长全面考核；按无菌要求做好清扫地面及刷洗手术室等各项工作，每周六彻底刷洗手术间地面；按门卫职责做好手术室门卫工作；负责手术医生（含进修生、实习生、参观考察人员）手术衣帽、口罩、鞋等物品的发放、保管工作。协助护士做好手术前的有关准备及清理消毒工作。负责接送手术病人、送检标本、手术用药、用血及发送麻醉药单等外勤工作；按院感染管理要求做好垃圾的分袋处理工作、协助器械护士做好敷料的整理，各种纱条的制作等工作；履行岗位职责、加强业务学习，不断提高工作质量；服从科室随机性、指令性任务的安排；</w:t>
            </w:r>
            <w:r/>
          </w:p>
          <w:p>
            <w:pPr>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
                <w:bCs/>
                <w:color w:val="auto"/>
                <w:sz w:val="22"/>
                <w:szCs w:val="22"/>
                <w:highlight w:val="none"/>
                <w:lang w:val="en-US" w:eastAsia="zh-CN"/>
              </w:rPr>
            </w:pPr>
            <w:r>
              <w:rPr>
                <w:rFonts w:hint="eastAsia" w:ascii="宋体" w:hAnsi="宋体" w:eastAsia="宋体" w:cs="宋体"/>
                <w:bCs/>
                <w:sz w:val="24"/>
                <w:lang w:val="en-US" w:eastAsia="zh-CN"/>
              </w:rPr>
              <w:t xml:space="preserve">工作标准：工人要求统一着装，衣、帽、鞋、工具等自备，符合手术室服装要求且区别于手术室工作服；因违反操作规程造成不良后果，责任自负；适应弹性排班工作制，中午连续上班者，午饭自行妥善解决。</w:t>
            </w:r>
            <w:r/>
          </w:p>
        </w:tc>
      </w:tr>
      <w:tr>
        <w:trPr>
          <w:trHeight w:val="454"/>
        </w:trPr>
        <w:tc>
          <w:tcPr>
            <w:tcW w:w="738"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2</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ICU管理要求</w:t>
            </w:r>
            <w:r/>
          </w:p>
        </w:tc>
        <w:tc>
          <w:tcPr>
            <w:tcW w:w="6635"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（1）环境清洁与消毒服务​</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高频次清洁标准：对 ICU 病房、走廊、治疗区、污物间等区域进行每日至少 3 次的深度清洁，重点包括病床周边、仪器设备表面、地面、墙面、门窗等。清洁工具需严格区分，采用 “一床一换、一室一消毒” 原则，避免交叉感染。​</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专业消毒要求：根据 ICU 感染控制规范，使用符合医疗标准的消毒剂（如含氯消毒剂、过氧乙酸等），对空气、物体表面、医疗器械接触面进行定期消毒。每日进行空气消毒（如紫外线消毒、过氧化氢雾化消毒），每周开展全面环境消杀，且消毒效果需定期监测并记录。​</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特殊区域处理：对隔离病房、污染物暂存区等高危区域，需按照生物安全防护要求进行专项清洁消毒，操作人员需穿戴全套防护装备，确保污染物妥善处理。​</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（2）感染控制辅助服务​</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废弃物管理：严格区分医疗废物（如针管、敷料）与生活垃圾，按照《医疗废物管理条例》规范收集、分类、封装、转运，确保全程无泄漏、无散落。医疗废物暂存点需每日消毒，转运工具使用后立即彻底清洁消毒。​</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织物管理：患者床单、被套、医护人员工作服等织物需专车收集、单独清洗消毒，采用高温灭菌处理，确保洗涤后达到无菌标准。织物存放区需干燥、通风，避免二次污染。​ 卫生支持：在 ICU 入口、病房门口、治疗区等位置设置免洗手消毒凝胶、消毒湿巾等，定期补充并检查有效期，协助医护人员及探视人员做好卫生。​</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（3）设施设备维护服务​</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基础设施巡检：每日检查 ICU 内的空调系统、通风设备、给排水系统、照明系统等，确保空调滤网定期清洗更换（每周至少 1 次），通风系统保持正压状态，防止外界污染空气进入。发现漏水、断电等问题需立即响应并协调维修，保障设备正常运行。​  医疗辅助设备协助：配合医护人员对监护仪、呼吸机、输液泵等设备的外部清洁和摆放整理，协助搬运、归位重型设备（如转运床、除颤仪），但不得触碰设备内部核心部件。​</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应急设施保障：定期检查消防设施（灭火器、消防栓、烟感报警器）、应急照明、呼叫系统等，确保完好可用，每月进行 1 次模拟应急演练，保障突发情况时的设施正常启动。</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（4）人员与秩序管理服务​</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出入管理：严格管控 ICU 入口，核对进入人员的身份（医护人员、患者家属、维修人员等），登记出入时间及事由，禁止无关人员进入。对探视人员进行引导，督促其穿戴防护用品（口罩、鞋套、隔离衣等）。​</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陪护支持：协助医护人员为患者家属提供简单指引（如探视流程、等候区位置），维护等候区秩序，保持环境安静整洁，及时清理等候区的垃圾和杂物。​</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人员健康管理：物业服务人员需持有健康证，每年进行 2 次体检，每日上岗前测量体温，确保无传染性疾病。工作中全程佩戴口罩、手套等防护用品，定期接受感染控制培训。​</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（5）应急响应服务​</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快速响应机制：建立24小时应急服务热线，针对ICU 内的突发情况（如呕吐物清理、设备故障、液体泄漏等），确保5分钟内到场处理，30分钟内完成应急清洁或协调解决。​</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疫情防控预案：当出现流感等呼吸道传染病疫情时，立即启动应急预案，增加消毒频次，协助设置临时隔离区域，配合医护人员做好流行病学调查相关的环境处理工作。​</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（6）服务质量监督与记录​</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全程可追溯：对每日清洁消毒、废弃物转运、设施巡检等工作进行详细记录，包括时间、操作人员、使用的消毒剂型号、消毒区域等信息，形成纸质或电子台账，便于医院感染控制部门查阅和追溯。​</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Cs/>
                <w:sz w:val="24"/>
                <w:lang w:val="en-US" w:eastAsia="zh-CN"/>
              </w:rPr>
              <w:t xml:space="preserve">定期沟通反馈：每周与ICU 医护团队召开沟通会，收集服务改进建议，针对问题制定整改方案并跟踪落实。每月提交服务质量报告，包含各项指标达标情况（如消毒合格率、应急响应及时率等）。</w:t>
            </w:r>
            <w:r/>
          </w:p>
        </w:tc>
      </w:tr>
      <w:tr>
        <w:trPr>
          <w:trHeight w:val="454"/>
        </w:trPr>
        <w:tc>
          <w:tcPr>
            <w:tcW w:w="738"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3</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急诊中心物业服务要求</w:t>
            </w:r>
            <w:r/>
          </w:p>
        </w:tc>
        <w:tc>
          <w:tcPr>
            <w:tcW w:w="6635"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（1）环境清洁与动态消毒服务</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高频即时清洁：针对急诊大厅、抢救室、观察病房、输液区等区域，实行 “随脏随清” 机制，抢救结束后15分钟内完成终末清洁，呕吐物、血迹等污染物需5分钟内到场处理，避免交叉感染。每日早中晚进行3次全面清洁，重点擦拭诊疗台、输液架、座椅、门把手等高频接触表面。</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分级消毒标准：抢救室、清创室等核心区域采用含氯消毒剂（500mg/L）每4小时消毒1次；大厅、走廊等公共区域每日2次消毒；救护车停靠区、污物暂存点需使用 1000mg/L含氯消毒剂，每日至少3次消毒，且消毒后需记录浓度及作用时间。</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特殊场景处理：应对批量伤员（如事故、疫情）时，需快速调配清洁人员，划分污染区、半污染区、清洁区，使用一次性防护装备和专用工具，避免不同区域交叉污染。</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（2）秩序维护与应急协同服务</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入口与分流管控：在急诊入口设置24小时岗亭，协助医护人员快速识别急危重症患者（如心梗、脑卒中等），引导其优先进入抢救通道；对轻症患者及家属进行分流，指引至相应诊区，避免大厅拥堵。同时，制止无关车辆占用救护车通道，确保“生命通道”24小时畅通。</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候诊区秩序管理：维护候诊区安静秩序，劝阻大声喧哗、吸烟等行为；协助疏导排队人群（如挂号、缴费、取药），避免插队冲突；为行动不便患者提供轮椅、平车等辅助工具，并协助推送至诊室或检查区。</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应急场景协同：接到 “120” 救护车预告后，提前5分钟清理抢救室通道，准备好平车、搬运垫等工具；批量伤员到达时，配合医护人员进行患者转运、物品传递（如病历夹、消毒用品），并临时划定家属等候区，避免干扰救治。</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（3）设施设备保障与快速响应服务</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关键设施巡检：每日检查急诊区域的空调通风系统（确保新风量≥12 次 / 小时）、照明、应急指示灯、呼叫铃等，每2小时巡查1次抢救室的供氧系统接口、负压吸引装置，发现故障立即联系维修，保障抢救设备正常运转。</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急救辅助支持：协助医护人员搬运抢救设备（如除颤仪、呼吸机），在转运患者时提供平车、担架等工具，并确保工具使用后立即消毒；为急诊手术患者快速推送转运床，协调电梯优先使用。</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物资补给协助：定期检查并补充急诊大厅的口罩、洗手液、纸杯、饮用水等便民物资，协助医护人员整理抢救室的耗材（如纱布、消毒液），确保物资摆放有序、随用随取。</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（4）特殊人群服务与便民支持</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弱势患者帮扶：为老年人、残疾人、儿童等特殊群体提供协助 —— 帮助行动不便者挂号、取药，为无人陪护的急重症患者暂存随身物品（如手机、钱包）并登记，协助联系家属。</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家属关怀服务：在等候区设置饮水处、充电插座、应急电话等便民设施，保持等候区座椅整洁，及时清理餐盒、饮料瓶等垃圾；提供简单指引（如卫生间位置、缴费窗口、食堂方向），缓解家属焦虑情绪。</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信息公示维护：定期更新急诊大厅的医师出诊表、就诊流程指引、收费标准等公示信息，确保内容清晰完整；电子屏、指示牌出现故障时，1 小时内联系维修或更换临时纸质版。</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（5）服务质量与沟通机制</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实时反馈渠道：在急诊大厅设置意见箱，每日收集患者及医护人员对物业服务的反馈（如清洁不及时、指引不到位），24 小时内回复处理结果。</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协同沟通机制：每日与急诊护士长召开10分钟晨会，同步当日重点工作（如大型活动期间的人流管控）；建立微信群，确保医护人员可随时反馈问题，物业人员30分钟内响应。</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Cs/>
                <w:sz w:val="24"/>
                <w:lang w:val="en-US" w:eastAsia="zh-CN"/>
              </w:rPr>
              <w:t xml:space="preserve">人员专业培训：物业服务人员需接受急诊流程培训（如“胸痛中心”“卒中中心” 绿色通道）、急救知识培训（如心肺复苏基础认知）、感染防控培训（如标准预防措施），每季度考核 1 次，确保服务贴合急诊场景需求。</w:t>
            </w:r>
            <w:r/>
          </w:p>
        </w:tc>
      </w:tr>
      <w:tr>
        <w:trPr>
          <w:trHeight w:val="454"/>
        </w:trPr>
        <w:tc>
          <w:tcPr>
            <w:tcW w:w="738"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4</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院感防控物业服务要求</w:t>
            </w:r>
            <w:r/>
          </w:p>
        </w:tc>
        <w:tc>
          <w:tcPr>
            <w:tcW w:w="6635"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（1）分级清洁与精准消毒​</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分区差异化处理：按照急诊区域风险等级（抢救室＞诊疗区＞候诊区＞通道）实施分级清洁。抢救室每接诊 1 名患者后立即进行终末消毒，包括病床单元、监护仪按键、输液架等高频接触表面，使用含氯消毒剂（浓度 500-1000mg/L）擦拭；诊疗区每 4 小时消毒 1 次，候诊区每 6 小时消毒 1 次，地面采用 “湿式清扫 + 拖拭消毒” 组合方式，避免扬尘传播。​</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高风险区域专项防控：对发热诊室、传染病筛查区等，设置独立清洁工具组（红色标识），清洁人员需穿防护服、戴护目镜，消毒后采用过氧化氢喷雾进行空气终末消毒，作用时间不少于 30 分钟，消毒后通风 30 分钟方可再次使用。​</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应急污染快速处置：针对呕吐物、血液、体液等突发污染，需立即用吸附材料覆盖，再喷洒含氯消毒剂（浓度 2000mg/L）浸润 30 分钟后清理，污染区域外延 1 米范围同步消毒，处置过程全程记录，避免污染物扩散。​</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（2）医疗废物闭环管理​</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即时分类与规范封装：在抢救床旁、治疗车旁设置脚踏式医疗废物桶（黄色），物业服务人员需每小时巡查并更换满 3/4 的废物袋，采用 “鹅颈式” 封口并贴标签（含产生时间、科室、类别），与医护人员双人核对后转运。利器盒需专用、防刺穿，满 2/3 即封闭，禁止徒手拆解或挤压。​</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转运路线与频次管控：每日 7:00、15:00、23:00 固定三次转运，特殊情况随满随清，转运路线避开患者通道，使用专用密闭转运车，每次转运后对车辆内外及暂存点（急诊内部临时存放不超过4小时）用 1000mg/L 含氯消毒剂彻底擦拭。​</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交接溯源管理：建立医疗废物交接台账，记录废物种类、重量、转运人、接收人等信息，台账保存至少 3 年，确保全程可追溯。​</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（3）人员防护与行为规范​</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防护装备标准化：物业服务人员进入急诊区域需全程佩戴医用外科口罩、一次性手套；进入抢救室、发热诊室等区域时，加穿隔离衣、戴防护面屏，按“脱摘防护用品流程” 规范操作，避免自身污染。防护用品每 4 小时更换1次，污染后立即更换。​  健康监测与培训考核：每月组织1次院感知识培训（含消毒技术、职业暴露处理等），考核合格方可上岗；每日上岗前测量体温，每周进行1次核酸检测，出现发热、咳嗽等症状立即离岗并报备，杜绝带病工作。​</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交叉感染阻断：清洁工具严格执行“一室一换、一用一消毒”，拖布、抹布使用后用500mg/L含氯消毒剂浸泡30分钟，晾干后分区存放（不同颜色对应不同区域）；禁止在诊疗区、候诊区进食、饮水，工作期间不触碰面部、口鼻。​</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（4）环境监测与持续改进​</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消毒效果实时监测：每周配合医院感染控制科对急诊空气、物体表面进行采样检测（菌落数≤4CFU/皿为合格），检测结果不合格时立即复盘消毒流程，增加消毒频次并更换消毒剂种类。​</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Cs/>
                <w:sz w:val="24"/>
                <w:lang w:val="en-US" w:eastAsia="zh-CN"/>
              </w:rPr>
              <w:t xml:space="preserve">应急演练与预案更新：每季度开展1次院感暴发应急演练（如模拟诺如病毒污染处置），检验快速响应、终末消毒、人员分流等环节的协同性，根据演练结果优化《急诊院感防控应急预案》，确保与医院整体防控体系无缝衔接。</w:t>
            </w:r>
            <w:r/>
          </w:p>
        </w:tc>
      </w:tr>
    </w:tbl>
    <w:p>
      <w:pPr>
        <w:pStyle w:val="780"/>
        <w:rPr>
          <w:rFonts w:hint="eastAsia" w:ascii="宋体" w:hAnsi="宋体" w:eastAsia="宋体" w:cs="宋体"/>
          <w:sz w:val="22"/>
          <w:szCs w:val="21"/>
          <w:highlight w:val="none"/>
          <w:lang w:val="en-US" w:eastAsia="zh-CN"/>
        </w:rPr>
      </w:pPr>
      <w:r>
        <w:rPr>
          <w:rFonts w:hint="eastAsia" w:ascii="宋体" w:hAnsi="宋体" w:eastAsia="宋体" w:cs="宋体"/>
          <w:sz w:val="22"/>
          <w:szCs w:val="21"/>
          <w:highlight w:val="none"/>
          <w:lang w:val="en-US" w:eastAsia="zh-CN"/>
        </w:rPr>
      </w:r>
      <w:r/>
    </w:p>
    <w:p>
      <w:pPr>
        <w:pStyle w:val="780"/>
        <w:ind w:left="0" w:firstLine="482"/>
        <w:rPr>
          <w:rFonts w:hint="eastAsia" w:ascii="宋体" w:hAnsi="宋体" w:cs="宋体"/>
          <w:sz w:val="24"/>
          <w:szCs w:val="22"/>
          <w:highlight w:val="none"/>
          <w:lang w:val="en-US" w:eastAsia="zh-CN"/>
        </w:rPr>
      </w:pPr>
      <w:r>
        <w:rPr>
          <w:rFonts w:hint="eastAsia" w:ascii="宋体" w:hAnsi="宋体" w:cs="宋体"/>
          <w:sz w:val="24"/>
          <w:szCs w:val="22"/>
          <w:highlight w:val="none"/>
          <w:lang w:val="en-US" w:eastAsia="zh-CN"/>
        </w:rPr>
        <w:t xml:space="preserve">3.3交接过渡方案</w:t>
      </w:r>
      <w:r/>
    </w:p>
    <w:tbl>
      <w:tblPr>
        <w:tblStyle w:val="808"/>
        <w:tblW w:w="4918"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246"/>
        <w:gridCol w:w="6715"/>
      </w:tblGrid>
      <w:tr>
        <w:trPr>
          <w:trHeight w:val="597"/>
        </w:trPr>
        <w:tc>
          <w:tcPr>
            <w:tcW w:w="750" w:type="dxa"/>
            <w:vAlign w:val="center"/>
            <w:textDirection w:val="lrTb"/>
            <w:noWrap w:val="false"/>
          </w:tcPr>
          <w:p>
            <w:pPr>
              <w:jc w:val="center"/>
              <w:keepLines w:val="0"/>
              <w:keepNext w:val="0"/>
              <w:pageBreakBefore w:val="0"/>
              <w:spacing w:line="500" w:lineRule="exact"/>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序号</w:t>
            </w:r>
            <w:r/>
          </w:p>
        </w:tc>
        <w:tc>
          <w:tcPr>
            <w:tcW w:w="1246" w:type="dxa"/>
            <w:vAlign w:val="center"/>
            <w:textDirection w:val="lrTb"/>
            <w:noWrap w:val="false"/>
          </w:tcPr>
          <w:p>
            <w:pPr>
              <w:jc w:val="center"/>
              <w:keepLines w:val="0"/>
              <w:keepNext w:val="0"/>
              <w:pageBreakBefore w:val="0"/>
              <w:spacing w:line="500" w:lineRule="exact"/>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服务内容</w:t>
            </w:r>
            <w:r/>
          </w:p>
        </w:tc>
        <w:tc>
          <w:tcPr>
            <w:tcW w:w="6715"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sz w:val="24"/>
                <w:szCs w:val="24"/>
                <w:lang w:val="en-US" w:eastAsia="zh-CN" w:bidi="ar"/>
              </w:rPr>
              <w:t xml:space="preserve">服务标准</w:t>
            </w:r>
            <w:r/>
          </w:p>
        </w:tc>
      </w:tr>
      <w:tr>
        <w:trPr>
          <w:trHeight w:val="686"/>
        </w:trPr>
        <w:tc>
          <w:tcPr>
            <w:tcW w:w="750"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tcW w:w="1246"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交接过渡</w:t>
            </w:r>
            <w:r/>
          </w:p>
        </w:tc>
        <w:tc>
          <w:tcPr>
            <w:tcW w:w="6715"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中标供应商与采购人原服务供应商进行项目交接的期限不超过7个工作日，承诺拟派驻总人数的80%到岗时间、承诺拟派驻总人数的95%到岗时间以及承诺重点科室（手术室、ICU、医疗垃圾收集、急诊中心）岗位人数的90%到岗时间不超过7个工作日，均自物业合同签订后开始计算。</w:t>
            </w:r>
            <w:r/>
          </w:p>
        </w:tc>
      </w:tr>
      <w:tr>
        <w:trPr>
          <w:trHeight w:val="454"/>
        </w:trPr>
        <w:tc>
          <w:tcPr>
            <w:tcW w:w="750"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2</w:t>
            </w:r>
            <w:r/>
          </w:p>
        </w:tc>
        <w:tc>
          <w:tcPr>
            <w:tcW w:w="1246"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提供手术室、ICU、医疗垃圾收集、急诊中心岗位培训</w:t>
            </w:r>
            <w:r/>
          </w:p>
        </w:tc>
        <w:tc>
          <w:tcPr>
            <w:tcW w:w="6715"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（1）基础认知培训</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手术室环境与院感风险认知：系统讲解手术室分区（限制区、半限制区、非限制区）的划分标准及进入要求，明确各区域的洁净级别（如百级、千级手术间的空气含菌量标准），通过案例分析（如因环境清洁不到位导致的手术部位感染事件）强化风险意识，培训时长不少于8小时。​</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核心知识学习：重点掌握《手术室消毒技术规范》《医疗废物管理条例》中与物业工作相关的条款，熟记手术室 “三查七对”（查区域、查工具、查流程；对消毒剂浓度、对操作时间、对防护装备等）的具体要求，考核通过后方可进入实操阶段。​</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（2）操作技能培训</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清洁消毒专项训练：​</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手术间终末清洁：模拟术后场景，训练“由上至下、由洁至污”的擦拭顺序（先手术灯，天花板，再墙面、器械台，最后地面），掌握手术床底部、器械车缝隙、墙角等隐蔽部位的清洁技巧，使用含氯消毒剂（浓度1000mg/L）时需练习精准配比（如 2000ml水加5ml消毒剂），确保作用时间≥30分钟。​</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高风险设备清洁：专项培训无影灯、电刀主机、输液架等设备的外部消毒流程，强调“专用抹布 + 螺旋式擦拭”法，禁止触碰设备内部接口或无菌管路，训练时长累计不少于16小时，需通过实操考核（清洁后采样检测菌落数≤2CFU/皿）。​</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物料转运规范：​</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无菌物品传递：学习手术室物流通道的使用规则，训练 “缓冲区双人核对” 流程（核对包外指示胶带、灭菌日期），掌握无菌包搬运时的 “平托法”（避免挤压、倾斜），禁止跨越无菌区传递物品。​</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医疗废物处置：模拟手术废弃敷料、刀片等锐器的分类封装，训练 “鹅颈式封口 + 双重包装” 技术，重点练习利器盒的规范投放（距地面 1.2 米高度投放，避免手部接触盒口），确保转运路线全程不经过手术间门口。</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（3）日常考核机制​</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实操抽查：每周随机抽取1项操作（如手术间地面消毒）进行考核，重点检查消毒剂浓度、擦拭轨迹、工具分区使用等细节，连续3次达标方可转为正式上岗。​</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每年参与2次手术室新技术配套培训（如层流系统维护配合、机器人手术间清洁要点），掌握新型消毒剂（如过氧乙酸）的使用注意事项，考核通过后授予相应操作权限。​</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每季度参与1次多部门联合演练（与手术室护士、感染控制科共同模拟突发感染事件），提升跨团队协同处置能力。</w:t>
            </w:r>
            <w:r/>
          </w:p>
        </w:tc>
      </w:tr>
    </w:tbl>
    <w:p>
      <w:pPr>
        <w:pStyle w:val="779"/>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p>
      <w:pPr>
        <w:pStyle w:val="780"/>
        <w:ind w:firstLine="4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保洁服务</w:t>
      </w:r>
      <w:r/>
    </w:p>
    <w:tbl>
      <w:tblPr>
        <w:tblStyle w:val="808"/>
        <w:tblW w:w="4910"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248"/>
        <w:gridCol w:w="6676"/>
      </w:tblGrid>
      <w:tr>
        <w:trPr>
          <w:trHeight w:val="578"/>
        </w:trPr>
        <w:tc>
          <w:tcPr>
            <w:tcW w:w="773" w:type="dxa"/>
            <w:vAlign w:val="center"/>
            <w:textDirection w:val="lrTb"/>
            <w:noWrap w:val="false"/>
          </w:tcPr>
          <w:p>
            <w:pPr>
              <w:jc w:val="center"/>
              <w:keepLines w:val="0"/>
              <w:keepNext w:val="0"/>
              <w:pageBreakBefore w:val="0"/>
              <w:spacing w:line="500" w:lineRule="exact"/>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序号</w:t>
            </w:r>
            <w:r/>
          </w:p>
        </w:tc>
        <w:tc>
          <w:tcPr>
            <w:tcW w:w="1248" w:type="dxa"/>
            <w:vAlign w:val="center"/>
            <w:textDirection w:val="lrTb"/>
            <w:noWrap w:val="false"/>
          </w:tcPr>
          <w:p>
            <w:pPr>
              <w:jc w:val="center"/>
              <w:keepLines w:val="0"/>
              <w:keepNext w:val="0"/>
              <w:pageBreakBefore w:val="0"/>
              <w:spacing w:line="500" w:lineRule="exact"/>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服务内容</w:t>
            </w:r>
            <w:r/>
          </w:p>
        </w:tc>
        <w:tc>
          <w:tcPr>
            <w:tcW w:w="6676" w:type="dxa"/>
            <w:vAlign w:val="center"/>
            <w:textDirection w:val="lrTb"/>
            <w:noWrap w:val="false"/>
          </w:tcPr>
          <w:p>
            <w:pPr>
              <w:jc w:val="center"/>
              <w:keepLines w:val="0"/>
              <w:keepNext w:val="0"/>
              <w:pageBreakBefore w:val="0"/>
              <w:spacing w:line="500" w:lineRule="exact"/>
              <w:rPr>
                <w:rFonts w:hint="eastAsia" w:ascii="宋体" w:hAnsi="宋体" w:eastAsia="宋体" w:cs="宋体"/>
                <w:b/>
                <w:bCs w:val="0"/>
                <w:sz w:val="24"/>
                <w:szCs w:val="24"/>
                <w:lang w:val="en-US" w:eastAsia="zh-CN" w:bidi="ar"/>
              </w:rPr>
            </w:pPr>
            <w:r>
              <w:rPr>
                <w:rFonts w:hint="eastAsia" w:ascii="宋体" w:hAnsi="宋体" w:eastAsia="宋体" w:cs="宋体"/>
                <w:b/>
                <w:bCs w:val="0"/>
                <w:sz w:val="24"/>
                <w:szCs w:val="24"/>
                <w:lang w:val="en-US" w:eastAsia="zh-CN" w:bidi="ar"/>
              </w:rPr>
              <w:t xml:space="preserve">服务标准</w:t>
            </w:r>
            <w:r/>
          </w:p>
        </w:tc>
      </w:tr>
      <w:tr>
        <w:trPr>
          <w:trHeight w:val="454"/>
        </w:trPr>
        <w:tc>
          <w:tcPr>
            <w:tcW w:w="773"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tcW w:w="1248"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基本要求</w:t>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（1）建立保洁服务的工作制度及工作计划，并按照执行。</w:t>
            </w:r>
            <w:r/>
          </w:p>
        </w:tc>
      </w:tr>
      <w:tr>
        <w:trPr>
          <w:trHeight w:val="454"/>
        </w:trPr>
        <w:tc>
          <w:tcPr>
            <w:tcW w:w="773"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tc>
        <w:tc>
          <w:tcPr>
            <w:tcW w:w="1248"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（2）做好保洁服务工作记录，记录填写规范、保存完好。</w:t>
            </w:r>
            <w:r/>
          </w:p>
        </w:tc>
      </w:tr>
      <w:tr>
        <w:trPr>
          <w:trHeight w:val="454"/>
        </w:trPr>
        <w:tc>
          <w:tcPr>
            <w:tcW w:w="773"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tc>
        <w:tc>
          <w:tcPr>
            <w:tcW w:w="1248"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（3）作业时采取安全防护措施，防止对作业人员或他人造成伤害。相关耗材的环保、安全性等应当符合国家相关规定要求。</w:t>
            </w:r>
            <w:r/>
          </w:p>
        </w:tc>
      </w:tr>
      <w:tr>
        <w:trPr>
          <w:trHeight w:val="454"/>
        </w:trPr>
        <w:tc>
          <w:tcPr>
            <w:tcW w:w="773"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tc>
        <w:tc>
          <w:tcPr>
            <w:tcW w:w="1248" w:type="dxa"/>
            <w:vAlign w:val="center"/>
            <w:vMerge w:val="continue"/>
            <w:textDirection w:val="lrTb"/>
            <w:noWrap w:val="false"/>
          </w:tcPr>
          <w:p>
            <w:pPr>
              <w:numPr>
                <w:ilvl w:val="0"/>
                <w:numId w:val="0"/>
              </w:numPr>
              <w:ind w:left="0" w:firstLine="0"/>
              <w:jc w:val="center"/>
              <w:keepLines w:val="0"/>
              <w:keepNext w:val="0"/>
              <w:pageBreakBefore w:val="0"/>
              <w:spacing w:line="500" w:lineRule="exac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（4）进入保密区域时，有采购人相关人员全程在场。</w:t>
            </w:r>
            <w:r/>
          </w:p>
        </w:tc>
      </w:tr>
      <w:tr>
        <w:trPr>
          <w:trHeight w:val="454"/>
        </w:trPr>
        <w:tc>
          <w:tcPr>
            <w:tcW w:w="773"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2</w:t>
            </w:r>
            <w:r/>
          </w:p>
        </w:tc>
        <w:tc>
          <w:tcPr>
            <w:tcW w:w="124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病区保洁</w:t>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病区及病房的医护办公室、治疗室、换药室、病房等所有诊疗场所的地面、墙壁、房顶、门窗、卫生间、卫生设施（洗面池、马桶等）及病房床单元设施（包括设备带、床头柜、病床、陪护椅、贮藏柜、方凳等）的保洁，以及病区走廊、公用厕所的保洁，微波炉等设备设施的保洁及管理。</w:t>
            </w:r>
            <w:r/>
          </w:p>
        </w:tc>
      </w:tr>
      <w:tr>
        <w:trPr>
          <w:trHeight w:val="454"/>
        </w:trPr>
        <w:tc>
          <w:tcPr>
            <w:tcW w:w="773"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3</w:t>
            </w:r>
            <w:r/>
          </w:p>
        </w:tc>
        <w:tc>
          <w:tcPr>
            <w:tcW w:w="124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住院楼 保洁</w:t>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负责住院大厅地面、四周墙壁、顶层、门窗、玻璃幕墙、走廊、厕所、内外楼梯、电梯轿厢、内阳台、外平台的保洁。</w:t>
            </w:r>
            <w:r/>
          </w:p>
        </w:tc>
      </w:tr>
      <w:tr>
        <w:trPr>
          <w:trHeight w:val="454"/>
        </w:trPr>
        <w:tc>
          <w:tcPr>
            <w:tcW w:w="773"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4</w:t>
            </w:r>
            <w:r/>
          </w:p>
        </w:tc>
        <w:tc>
          <w:tcPr>
            <w:tcW w:w="124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手术室保洁</w:t>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负责手术室各手术间、麻醉复苏室、洗澡间、卫生间、储物间、医护办公室等手术用房及辅助用房的地面、内外走廊、门窗的保洁，以及病员休息室的保洁。</w:t>
            </w:r>
            <w:r/>
          </w:p>
        </w:tc>
      </w:tr>
      <w:tr>
        <w:trPr>
          <w:trHeight w:val="454"/>
        </w:trPr>
        <w:tc>
          <w:tcPr>
            <w:tcW w:w="773"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5</w:t>
            </w:r>
            <w:r/>
          </w:p>
        </w:tc>
        <w:tc>
          <w:tcPr>
            <w:tcW w:w="124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急诊区保洁</w:t>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负责急诊内、外、儿等各诊疗室；注射室、抢救室、观察病房、输液大厅、治疗室、门诊手术室、换药室等诊疗场所的地面、门窗、墙壁、设备设施的保洁。</w:t>
            </w:r>
            <w:r/>
          </w:p>
        </w:tc>
      </w:tr>
      <w:tr>
        <w:trPr>
          <w:trHeight w:val="454"/>
        </w:trPr>
        <w:tc>
          <w:tcPr>
            <w:tcW w:w="773"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6</w:t>
            </w:r>
            <w:r/>
          </w:p>
        </w:tc>
        <w:tc>
          <w:tcPr>
            <w:tcW w:w="124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门诊楼的保洁</w:t>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负责门诊大厅、各层卫生间、楼梯、扶手及办公区域、各层走廊等区域的保洁。负责门诊楼各科室的诊疗室、检查室、治疗室、换药室等诊疗场所的地面、墙壁、门窗、设备、设施等处的保洁。</w:t>
            </w:r>
            <w:r/>
          </w:p>
        </w:tc>
      </w:tr>
      <w:tr>
        <w:trPr>
          <w:trHeight w:val="454"/>
        </w:trPr>
        <w:tc>
          <w:tcPr>
            <w:tcW w:w="773"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7</w:t>
            </w:r>
            <w:r/>
          </w:p>
        </w:tc>
        <w:tc>
          <w:tcPr>
            <w:tcW w:w="124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行政办公区保洁</w:t>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负责院长室、职能科室等的地面、墙壁、门窗的保洁以及总值班室地面、门窗、卫生间的保洁（定期换洗床单元）。</w:t>
            </w:r>
            <w:r>
              <w:rPr>
                <w:rFonts w:hint="eastAsia" w:ascii="宋体" w:hAnsi="宋体" w:eastAsia="宋体" w:cs="宋体"/>
                <w:bCs/>
                <w:sz w:val="24"/>
                <w:lang w:val="en-US" w:eastAsia="zh-CN"/>
              </w:rPr>
            </w:r>
            <w:r/>
          </w:p>
        </w:tc>
      </w:tr>
      <w:tr>
        <w:trPr>
          <w:trHeight w:val="454"/>
        </w:trPr>
        <w:tc>
          <w:tcPr>
            <w:tcW w:w="773"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8</w:t>
            </w:r>
            <w:r/>
          </w:p>
        </w:tc>
        <w:tc>
          <w:tcPr>
            <w:tcW w:w="124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会议室的保洁</w:t>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负责会议室、地面、门窗、设备设施的保洁。</w:t>
            </w:r>
            <w:r/>
          </w:p>
        </w:tc>
      </w:tr>
      <w:tr>
        <w:trPr>
          <w:trHeight w:val="1346"/>
        </w:trPr>
        <w:tc>
          <w:tcPr>
            <w:tcW w:w="773"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9</w:t>
            </w:r>
            <w:r/>
          </w:p>
        </w:tc>
        <w:tc>
          <w:tcPr>
            <w:tcW w:w="124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医技科室的保洁</w:t>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负责影像科（含放射、CT、超声）、检验科、病理科等所有科室的门窗、墙壁、地面的保洁，以及楼梯、公用厕所、各层走廊的保洁。</w:t>
            </w:r>
            <w:r/>
          </w:p>
        </w:tc>
      </w:tr>
      <w:tr>
        <w:trPr>
          <w:trHeight w:val="454"/>
        </w:trPr>
        <w:tc>
          <w:tcPr>
            <w:tcW w:w="773"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10</w:t>
            </w:r>
            <w:r/>
          </w:p>
        </w:tc>
        <w:tc>
          <w:tcPr>
            <w:tcW w:w="124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外环保洁</w:t>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负责医院范围内的道路，房屋四周、前后庭院的保洁，包括清除杂草（绿化维保范围除外）。</w:t>
            </w:r>
            <w:r/>
          </w:p>
        </w:tc>
      </w:tr>
      <w:tr>
        <w:trPr>
          <w:trHeight w:val="454"/>
        </w:trPr>
        <w:tc>
          <w:tcPr>
            <w:tcW w:w="773"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11</w:t>
            </w:r>
            <w:r/>
          </w:p>
        </w:tc>
        <w:tc>
          <w:tcPr>
            <w:tcW w:w="124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其它事项</w:t>
            </w:r>
            <w:r/>
          </w:p>
        </w:tc>
        <w:tc>
          <w:tcPr>
            <w:tcW w:w="667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将各病区（科室）的生活垃圾运至指定地点，协助收集医疗废弃物；协助护士做好无陪病人生活护理，协助标本分送、血库血领取、会诊单、报表、医疗、行政各种用单递送；送取维修的小型仪器；消毒包送取、消毒液及医用耗材的领取；协助护士长做好资产管理；完成科内随机性，指令性任务。</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配合院方做好各项创建活动和上级部门的检查工作，完成突击、抢险等安全应急工作。如遇灾害天气（如台风、暴雨、大雪、冰雹等）应在第一时间内响应，做好灾后清理工作。</w:t>
            </w:r>
            <w:r/>
          </w:p>
        </w:tc>
      </w:tr>
    </w:tbl>
    <w:p>
      <w:pPr>
        <w:pStyle w:val="779"/>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p>
      <w:pPr>
        <w:pStyle w:val="780"/>
        <w:ind w:firstLine="4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3.4.1具体清洁要求</w:t>
      </w:r>
      <w:r/>
    </w:p>
    <w:tbl>
      <w:tblPr>
        <w:tblStyle w:val="808"/>
        <w:tblW w:w="4892" w:type="pct"/>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280"/>
        <w:gridCol w:w="6612"/>
      </w:tblGrid>
      <w:tr>
        <w:trPr>
          <w:trHeight w:val="578"/>
        </w:trPr>
        <w:tc>
          <w:tcPr>
            <w:tcW w:w="77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sz w:val="22"/>
                <w:szCs w:val="22"/>
                <w:highlight w:val="none"/>
                <w:vertAlign w:val="baseline"/>
                <w:lang w:val="en-US" w:eastAsia="zh-CN"/>
              </w:rPr>
            </w:pPr>
            <w:r>
              <w:rPr>
                <w:rFonts w:hint="eastAsia" w:ascii="宋体" w:hAnsi="宋体" w:eastAsia="宋体" w:cs="宋体"/>
                <w:b/>
                <w:bCs/>
                <w:sz w:val="22"/>
                <w:szCs w:val="22"/>
                <w:highlight w:val="none"/>
                <w:vertAlign w:val="baseline"/>
                <w:lang w:val="en-US" w:eastAsia="zh-CN"/>
              </w:rPr>
              <w:t xml:space="preserve">序号</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sz w:val="22"/>
                <w:szCs w:val="22"/>
                <w:highlight w:val="none"/>
                <w:vertAlign w:val="baseline"/>
                <w:lang w:val="en-US" w:eastAsia="zh-CN"/>
              </w:rPr>
            </w:pPr>
            <w:r>
              <w:rPr>
                <w:rFonts w:hint="eastAsia" w:ascii="宋体" w:hAnsi="宋体" w:eastAsia="宋体" w:cs="宋体"/>
                <w:b/>
                <w:bCs/>
                <w:sz w:val="22"/>
                <w:szCs w:val="22"/>
                <w:highlight w:val="none"/>
                <w:vertAlign w:val="baseline"/>
                <w:lang w:val="en-US" w:eastAsia="zh-CN"/>
              </w:rPr>
              <w:t xml:space="preserve">材质</w:t>
            </w:r>
            <w:r/>
          </w:p>
        </w:tc>
        <w:tc>
          <w:tcPr>
            <w:tcW w:w="6612"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sz w:val="22"/>
                <w:szCs w:val="22"/>
                <w:highlight w:val="none"/>
                <w:vertAlign w:val="baseline"/>
                <w:lang w:val="en-US" w:eastAsia="zh-CN"/>
              </w:rPr>
            </w:pPr>
            <w:r>
              <w:rPr>
                <w:rFonts w:hint="eastAsia" w:ascii="宋体" w:hAnsi="宋体" w:eastAsia="宋体" w:cs="宋体"/>
                <w:b/>
                <w:bCs/>
                <w:sz w:val="22"/>
                <w:szCs w:val="22"/>
                <w:highlight w:val="none"/>
                <w:vertAlign w:val="baseline"/>
                <w:lang w:val="en-US" w:eastAsia="zh-CN"/>
              </w:rPr>
              <w:t xml:space="preserve">清洁要求</w:t>
            </w:r>
            <w:r/>
          </w:p>
        </w:tc>
      </w:tr>
      <w:tr>
        <w:trPr>
          <w:trHeight w:val="454"/>
        </w:trPr>
        <w:tc>
          <w:tcPr>
            <w:tcW w:w="773"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tcW w:w="1280"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环氧地坪地面</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（1）清理垃圾：清理地面上的垃圾和杂物。</w:t>
            </w:r>
            <w:r/>
          </w:p>
        </w:tc>
      </w:tr>
      <w:tr>
        <w:trPr>
          <w:trHeight w:val="454"/>
        </w:trPr>
        <w:tc>
          <w:tcPr>
            <w:tcW w:w="773"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280"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773"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280"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（3）滚刷或颗粒机进行深层清洗：对于顽固沉积物，需要使用滚刷或颗粒机进行深层清洗。</w:t>
            </w:r>
            <w:r/>
          </w:p>
        </w:tc>
      </w:tr>
      <w:tr>
        <w:trPr>
          <w:trHeight w:val="454"/>
        </w:trPr>
        <w:tc>
          <w:tcPr>
            <w:tcW w:w="773"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280"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 （4）浸泡：将清洁剂或去污剂浸泡在环氧地坪上，加强去除污渍的效果。</w:t>
            </w:r>
            <w:r/>
          </w:p>
        </w:tc>
      </w:tr>
      <w:tr>
        <w:trPr>
          <w:trHeight w:val="454"/>
        </w:trPr>
        <w:tc>
          <w:tcPr>
            <w:tcW w:w="773"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280"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（5）冲洗：用清水将地面冲洗干净，以去除残留的清洁剂或去污剂。</w:t>
            </w:r>
            <w:r/>
          </w:p>
        </w:tc>
      </w:tr>
      <w:tr>
        <w:trPr>
          <w:trHeight w:val="454"/>
        </w:trPr>
        <w:tc>
          <w:tcPr>
            <w:tcW w:w="773"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2</w:t>
            </w:r>
            <w:r/>
          </w:p>
        </w:tc>
        <w:tc>
          <w:tcPr>
            <w:tcW w:w="1280"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耐磨漆 地面</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773"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280"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（2）打蜡：为了增加耐磨地面的光亮度和耐磨性，可以进行打蜡处理。使用适合聚氨酯地面的蜡进行均匀涂抹，待蜡干燥后使用抛光机或拖把清理地面，使其变得光滑而有光泽。</w:t>
            </w:r>
            <w:r/>
          </w:p>
        </w:tc>
      </w:tr>
      <w:tr>
        <w:trPr>
          <w:trHeight w:val="454"/>
        </w:trPr>
        <w:tc>
          <w:tcPr>
            <w:tcW w:w="773"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3</w:t>
            </w:r>
            <w:r/>
          </w:p>
        </w:tc>
        <w:tc>
          <w:tcPr>
            <w:tcW w:w="1280"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瓷砖地面</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（1）日常清洁：推尘，保持地面干净无杂物。</w:t>
            </w:r>
            <w:r/>
          </w:p>
        </w:tc>
      </w:tr>
      <w:tr>
        <w:trPr>
          <w:trHeight w:val="454"/>
        </w:trPr>
        <w:tc>
          <w:tcPr>
            <w:tcW w:w="773"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280"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（2）深度清洁：使用洗洁精或肥皂水清理。</w:t>
            </w:r>
            <w:r/>
          </w:p>
        </w:tc>
      </w:tr>
      <w:tr>
        <w:trPr>
          <w:trHeight w:val="454"/>
        </w:trPr>
        <w:tc>
          <w:tcPr>
            <w:tcW w:w="773"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4</w:t>
            </w:r>
            <w:r/>
          </w:p>
        </w:tc>
        <w:tc>
          <w:tcPr>
            <w:tcW w:w="1280"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石材地面</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（1）根据各区域的人流量及大理石的实际磨损程度制定大理石的晶面保养计划。</w:t>
            </w:r>
            <w:r/>
          </w:p>
        </w:tc>
      </w:tr>
      <w:tr>
        <w:trPr>
          <w:trHeight w:val="454"/>
        </w:trPr>
        <w:tc>
          <w:tcPr>
            <w:tcW w:w="773"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r>
            <w:r/>
          </w:p>
        </w:tc>
        <w:tc>
          <w:tcPr>
            <w:tcW w:w="1280" w:type="dxa"/>
            <w:vAlign w:val="center"/>
            <w:vMerge w:val="continue"/>
            <w:textDirection w:val="lrTb"/>
            <w:noWrap w:val="false"/>
          </w:tcPr>
          <w:p>
            <w:pPr>
              <w:jc w:val="both"/>
              <w:keepLines w:val="0"/>
              <w:keepNext w:val="0"/>
              <w:pageBreakBefore w:val="0"/>
              <w:spacing w:line="500" w:lineRule="exact"/>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z w:val="22"/>
                <w:szCs w:val="22"/>
                <w:highlight w:val="none"/>
                <w:vertAlign w:val="baseline"/>
                <w:lang w:val="en-US" w:eastAsia="zh-CN"/>
              </w:rPr>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（2）启动晶面机，使用中性清洁剂清洁，避免使用强酸或强碱清洁剂，定期进行基础维护。</w:t>
            </w:r>
            <w:r/>
          </w:p>
        </w:tc>
      </w:tr>
      <w:tr>
        <w:trPr>
          <w:trHeight w:val="454"/>
        </w:trPr>
        <w:tc>
          <w:tcPr>
            <w:tcW w:w="773"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5</w:t>
            </w:r>
            <w:r/>
          </w:p>
        </w:tc>
        <w:tc>
          <w:tcPr>
            <w:tcW w:w="1280"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地板地面</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（1）定期保养。使用中性清洁剂清洁，避免使用强酸或强碱清洁剂，定期进行基础维护。</w:t>
            </w:r>
            <w:r/>
          </w:p>
        </w:tc>
      </w:tr>
      <w:tr>
        <w:trPr>
          <w:trHeight w:val="454"/>
        </w:trPr>
        <w:tc>
          <w:tcPr>
            <w:tcW w:w="773"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1280"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（2）日常维护。使用湿润的拖把清洁，污染严重时局部清洁，每月对地板进行打蜡处理。</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6</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乳胶漆内墙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有污渍时用半干布擦拭。</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7</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墙纸内墙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有污渍时用半干布擦拭。</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8</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木饰面内墙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有污渍时用中性清洁剂、半干布擦拭。</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9</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石材内墙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有污渍时用半干布擦拭。</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10</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金属板内墙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有污渍时用半干布擦拭。</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11</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涂料外墙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定期专业清洗。</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12</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真石漆外墙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定期专业清洗。</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13</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瓷砖外墙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定期专业清洗。</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14</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保温一体板外墙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定期专业清洗。</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15</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铝板外墙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定期专业清洗。</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16</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干挂石材外墙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定期专业清洗。</w:t>
            </w:r>
            <w:r/>
          </w:p>
        </w:tc>
      </w:tr>
      <w:tr>
        <w:trPr>
          <w:trHeight w:val="454"/>
        </w:trPr>
        <w:tc>
          <w:tcPr>
            <w:tcW w:w="77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17</w:t>
            </w:r>
            <w:r/>
          </w:p>
        </w:tc>
        <w:tc>
          <w:tcPr>
            <w:tcW w:w="128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玻璃幕墙外墙</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定期专业清洗。</w:t>
            </w:r>
            <w:r/>
          </w:p>
        </w:tc>
      </w:tr>
    </w:tbl>
    <w:p>
      <w:pPr>
        <w:pStyle w:val="779"/>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p>
      <w:pPr>
        <w:pStyle w:val="780"/>
        <w:ind w:firstLine="4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3.5陪检配送服务</w:t>
      </w:r>
      <w:r/>
    </w:p>
    <w:tbl>
      <w:tblPr>
        <w:tblStyle w:val="808"/>
        <w:tblW w:w="4892" w:type="pct"/>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92"/>
        <w:gridCol w:w="6612"/>
      </w:tblGrid>
      <w:tr>
        <w:trPr>
          <w:trHeight w:val="560"/>
        </w:trPr>
        <w:tc>
          <w:tcPr>
            <w:tcW w:w="761"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292"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612"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标本送检</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医院的血液、体液、组织、空气培养等标本送检。</w:t>
            </w:r>
            <w:r/>
          </w:p>
        </w:tc>
      </w:tr>
      <w:tr>
        <w:trPr>
          <w:trHeight w:val="90"/>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2</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病员接送</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手术病人接送；门诊（重、弱、残及其他需要帮助的就诊病人）和住院病人转诊；</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3</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病员陪检</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住院病人、门诊重病人各项检查接送与陪同；</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4</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药品配送</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住院病人常规和临时药品取送；配液中心药品取送</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5</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物品运送</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消毒液下送、供应室消毒包送取、部分试管取送（大小便盒、痰盒、培养管等）、小型仪器维修送取、家具和设备搬运（不包含科室/部门整体搬迁及需动用机械搬迁的搬运）；</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6</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单据递送</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各类检查（CT、MRI、ECT、B超等）预约；各类诊断报告（包含影像片）递送等</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7</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仓库物资供应（总务、设备、药库等）</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根据各科室（病区）的工作要求，将药库（含病区药房）、总务库内物资按相关要求送至所需科室（病区）并自觉遵守仓库的各项规章制度。收取临床、医技等科室申请单，据单提供各部门物资供应；</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8</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医疗废物院内收集</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医疗废物院内收集转运至院内暂存点</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9</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检验中心</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标本接收、分拣、内部递送等；</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10</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绿色通道</w:t>
            </w:r>
            <w:r/>
          </w:p>
        </w:tc>
        <w:tc>
          <w:tcPr>
            <w:tcW w:w="6612"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负责协助医护人员急救病人的搬运工作；接到急救指令后携带平车或轮椅及时到位；必须树立全心全意为人民服务的思想，在工作中要做到不怕脏、不怕累，视病人如亲人。</w:t>
            </w:r>
            <w:r/>
          </w:p>
        </w:tc>
      </w:tr>
    </w:tbl>
    <w:p>
      <w:pPr>
        <w:pStyle w:val="78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780"/>
        <w:ind w:firstLine="4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3.6医技工勤服务</w:t>
      </w:r>
      <w:r/>
    </w:p>
    <w:tbl>
      <w:tblPr>
        <w:tblStyle w:val="808"/>
        <w:tblW w:w="4872"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92"/>
        <w:gridCol w:w="6576"/>
      </w:tblGrid>
      <w:tr>
        <w:trPr>
          <w:trHeight w:val="580"/>
        </w:trPr>
        <w:tc>
          <w:tcPr>
            <w:tcW w:w="761"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292"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577"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手术室工勤</w:t>
            </w:r>
            <w:r/>
          </w:p>
        </w:tc>
        <w:tc>
          <w:tcPr>
            <w:tcW w:w="6577"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掌握熟练职责范围内专业知识、职业技能；清楚岗位工作流程并能按要求完成本职工作；突发事件应急处理能力</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2</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影像中心</w:t>
            </w:r>
            <w:r/>
          </w:p>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577"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做好检查病人的划分、登记、编号、预约等工作。协助技师发放报告单；协助技师做好检查病人的准备工作。协助技师整理机房及前一天的申请单；清洗拖鞋，打开水；协助内务查找工作；负责机房、值班室及科室范围内的卫生；服从科室随机性、指令性任务的安排；</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3</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检验科、输血科工勤</w:t>
            </w:r>
            <w:r/>
          </w:p>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577"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取血、清洗各类试管、玻片等实验室器械（含特殊实验器械的清洗，如细菌培养、微量元素分析、特种蛋白分析等器皿的清洗）；感染性废弃物的处理；病区检验报告单的递送；协助科主任做好科内各类医用耗材、试剂及办公用品的请领；科内各专业组之间各类标本的递送；机房内的保洁；送取各类消毒用品，如各类培养基等；服从科室随机性、指令性任务的安排；</w:t>
            </w:r>
            <w:r/>
          </w:p>
        </w:tc>
      </w:tr>
      <w:tr>
        <w:trPr>
          <w:trHeight w:val="3323"/>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4</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静脉配置中心工勤</w:t>
            </w:r>
            <w:r/>
          </w:p>
        </w:tc>
        <w:tc>
          <w:tcPr>
            <w:tcW w:w="6577"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洁净舱：空气过滤器维护，辅助配置相关工作（准备注射器，开关操作台，退药处理，传送输液等），打扫卫生，洗晒洁净服；二级药库：药品外包装拆除，大输液清点、上架，打扫卫生，辅助领药、发放临床大输液，外送输液；办公区：全区域打扫，清洁消毒，药篮浸泡消毒擦拭，洗晒工作服、拖鞋，辅助发药、贴水、清点工作，外送输液，其余杂事等。</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5</w:t>
            </w:r>
            <w:r/>
          </w:p>
        </w:tc>
        <w:tc>
          <w:tcPr>
            <w:tcW w:w="1292"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中心供应室工勤</w:t>
            </w:r>
            <w:r/>
          </w:p>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577"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预热灭菌器，灭菌器运行前安全检查，清洁装卸车和灭菌器；协助进行BD测试，合理安排当天的高温低温灭菌的器械和敷料的装载、冷却卸载，纸塑包装物品，观察并及时记录灭菌时的温度压力和时间等灭菌关键参数和设备运行情况；协助进行生物监测，检查灭菌物品的灭菌效果，检查湿包情况；下班前关闭灭菌器的水电蒸汽源开关，检查科室所有门窗水电空调关闭情况。</w:t>
            </w:r>
            <w:r/>
          </w:p>
        </w:tc>
      </w:tr>
    </w:tbl>
    <w:p>
      <w:pPr>
        <w:pStyle w:val="779"/>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p>
      <w:pPr>
        <w:pStyle w:val="780"/>
        <w:ind w:firstLine="4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3.7后勤技术服务</w:t>
      </w:r>
      <w:r/>
    </w:p>
    <w:tbl>
      <w:tblPr>
        <w:tblStyle w:val="808"/>
        <w:tblW w:w="4871"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281"/>
        <w:gridCol w:w="6586"/>
      </w:tblGrid>
      <w:tr>
        <w:trPr>
          <w:trHeight w:val="581"/>
        </w:trPr>
        <w:tc>
          <w:tcPr>
            <w:tcW w:w="761"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281"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586"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tcW w:w="128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水电维修</w:t>
            </w:r>
            <w:r/>
          </w:p>
        </w:tc>
        <w:tc>
          <w:tcPr>
            <w:tcW w:w="658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全院供电、供水线路及有关电器、设备的检修、保养工作，保证医、教、研工作的正常开展。严格执行电工、水工操作规程，认真做好全院电器设备及线路、水路等的维修、保养工作，确保工作质量。服务临床一线，主动上门维修保养，并做好检修登记，由被检修部门负责同志签字验收。宣传安全用电、用电和节约能源知识，做好修旧利废，节约材料，物尽其用，杜绝滥用材料现象。切实加强业务学习，提高服务工作技能，配合医院不断开展技术的研究和利用。认真做好交接班，当班解决不了的问题应详细按照规章制度交给下一班。完成院方安排的随机性，指令性任务。</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2</w:t>
            </w:r>
            <w:r/>
          </w:p>
        </w:tc>
        <w:tc>
          <w:tcPr>
            <w:tcW w:w="1281" w:type="dxa"/>
            <w:vAlign w:val="center"/>
            <w:vMerge w:val="restart"/>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消毒服务</w:t>
            </w:r>
            <w:r/>
          </w:p>
        </w:tc>
        <w:tc>
          <w:tcPr>
            <w:tcW w:w="658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default" w:ascii="宋体" w:hAnsi="宋体" w:eastAsia="宋体" w:cs="宋体"/>
                <w:bCs/>
                <w:sz w:val="24"/>
                <w:lang w:val="en-US" w:eastAsia="zh-CN"/>
              </w:rPr>
            </w:pPr>
            <w:r>
              <w:rPr>
                <w:rFonts w:hint="eastAsia" w:ascii="宋体" w:hAnsi="宋体" w:eastAsia="宋体" w:cs="宋体"/>
                <w:bCs/>
                <w:sz w:val="24"/>
                <w:lang w:val="en-US" w:eastAsia="zh-CN"/>
              </w:rPr>
              <w:t xml:space="preserve">内镜中心消毒员：负责胃镜、肠镜、手术器械、手术包等物品消毒。</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3</w:t>
            </w:r>
            <w:r/>
          </w:p>
        </w:tc>
        <w:tc>
          <w:tcPr>
            <w:tcW w:w="1281" w:type="dxa"/>
            <w:vAlign w:val="center"/>
            <w:vMerge w:val="continue"/>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tc>
        <w:tc>
          <w:tcPr>
            <w:tcW w:w="658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检验科消毒员：负责每天的检验标本的高压灭菌及时解决高压灭菌过程中出现的故障，完成医疗废弃物收集并做好相关记录；对疑似标本密封装箱并收入冰箱并做好相关记录。</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4</w:t>
            </w:r>
            <w:r/>
          </w:p>
        </w:tc>
        <w:tc>
          <w:tcPr>
            <w:tcW w:w="1281" w:type="dxa"/>
            <w:vAlign w:val="center"/>
            <w:vMerge w:val="continue"/>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r>
            <w:r/>
          </w:p>
        </w:tc>
        <w:tc>
          <w:tcPr>
            <w:tcW w:w="658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中心供应室消毒员：预热灭菌器，灭菌器运行前安全检查，清洁装卸车和灭菌器，做BD测试，合理安排当天的高温低温灭菌的器械和敷料的装载、冷却卸载，纸塑包装物品，观察并及时记录灭菌时的温度压力和时间等灭菌关键参数和设备运行情况，做生物监测，检查灭菌物品的灭菌效果，检查湿包情况，下班前关闭灭菌器的水电蒸汽源开关，检查科室所有门窗水电空调关闭情况。完成院方安排的随机性，指令性任务。</w:t>
            </w:r>
            <w:r/>
          </w:p>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各科室消毒员经培训合格，并取得相应培训证书后方可上岗。</w:t>
            </w:r>
            <w:r/>
          </w:p>
        </w:tc>
      </w:tr>
      <w:tr>
        <w:trPr>
          <w:trHeight w:val="454"/>
        </w:trPr>
        <w:tc>
          <w:tcPr>
            <w:tcW w:w="76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5</w:t>
            </w:r>
            <w:r/>
          </w:p>
        </w:tc>
        <w:tc>
          <w:tcPr>
            <w:tcW w:w="1281"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接收医用气钢瓶</w:t>
            </w:r>
            <w:r/>
          </w:p>
        </w:tc>
        <w:tc>
          <w:tcPr>
            <w:tcW w:w="6586" w:type="dxa"/>
            <w:vAlign w:val="center"/>
            <w:textDirection w:val="lrTb"/>
            <w:noWrap w:val="false"/>
          </w:tcPr>
          <w:p>
            <w:pPr>
              <w:ind w:firstLine="480"/>
              <w:jc w:val="left"/>
              <w:keepLines w:val="0"/>
              <w:keepNext w:val="0"/>
              <w:pageBreakBefore w:val="0"/>
              <w:spacing w:line="500" w:lineRule="exact"/>
              <w:widowControl w:val="off"/>
              <w:tabs>
                <w:tab w:val="left" w:pos="210" w:leader="none"/>
                <w:tab w:val="left" w:pos="420" w:leader="none"/>
              </w:tabs>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负责接收液氧；负责给病区运送气体钢瓶；每日巡查液氧站，空压机房，钢瓶存储间等重要地点；负责病区生命带气体终端的维修维护；负责病区加床的运输；负责病区病床的简易维修；要求7*24小时排班。完成院方安排的随机性，指令性任务。</w:t>
            </w:r>
            <w:r/>
          </w:p>
        </w:tc>
      </w:tr>
    </w:tbl>
    <w:p>
      <w:pPr>
        <w:pStyle w:val="779"/>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p>
      <w:pPr>
        <w:pStyle w:val="780"/>
        <w:ind w:firstLine="4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3.8导医服务</w:t>
      </w:r>
      <w:r/>
    </w:p>
    <w:tbl>
      <w:tblPr>
        <w:tblStyle w:val="808"/>
        <w:tblW w:w="4885"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304"/>
        <w:gridCol w:w="6610"/>
      </w:tblGrid>
      <w:tr>
        <w:trPr>
          <w:trHeight w:val="571"/>
        </w:trPr>
        <w:tc>
          <w:tcPr>
            <w:tcW w:w="738"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304"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611"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3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tcW w:w="1304"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导医服务</w:t>
            </w:r>
            <w:r/>
          </w:p>
        </w:tc>
        <w:tc>
          <w:tcPr>
            <w:tcW w:w="6611" w:type="dxa"/>
            <w:vAlign w:val="center"/>
            <w:textDirection w:val="lrTb"/>
            <w:noWrap w:val="false"/>
          </w:tcPr>
          <w:p>
            <w:pPr>
              <w:ind w:firstLine="442"/>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Cs/>
                <w:sz w:val="24"/>
                <w:lang w:val="en-US" w:eastAsia="zh-CN"/>
              </w:rPr>
              <w:t xml:space="preserve">要求导医服务人员身材高挑、相貌端庄、基本熟悉医疗救助知识，人员形象须经采购人可后方可招录使用；做好各科患者的指导就诊工作，对患者热情招待，耐心解释，提供帮助；对危重患者应立即护送其去急诊室或病房，并马上报告医师进行抢救；引导病人使用自助预约挂号、缴费，有效分流疏散病员；主动询问病员病情，解答患者提出的各种疑问，征询与收集患者对医院的意见。并及时上报，积极向患者宣传卫生常识，协助做好门诊的候诊秩序和保持环境清洁。</w:t>
            </w:r>
            <w:r/>
          </w:p>
        </w:tc>
      </w:tr>
    </w:tbl>
    <w:p>
      <w:pPr>
        <w:pStyle w:val="779"/>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r>
      <w:r/>
    </w:p>
    <w:p>
      <w:pPr>
        <w:pStyle w:val="780"/>
        <w:ind w:firstLine="47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3.9医疗废弃物收集</w:t>
      </w:r>
      <w:r/>
    </w:p>
    <w:tbl>
      <w:tblPr>
        <w:tblStyle w:val="808"/>
        <w:tblW w:w="4885"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15"/>
        <w:gridCol w:w="6610"/>
      </w:tblGrid>
      <w:tr>
        <w:trPr>
          <w:trHeight w:val="525"/>
        </w:trPr>
        <w:tc>
          <w:tcPr>
            <w:tcW w:w="727"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315"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611"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27"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tcW w:w="1315"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医疗废弃物收集</w:t>
            </w:r>
            <w:r/>
          </w:p>
        </w:tc>
        <w:tc>
          <w:tcPr>
            <w:tcW w:w="6611" w:type="dxa"/>
            <w:vAlign w:val="center"/>
            <w:textDirection w:val="lrTb"/>
            <w:noWrap w:val="false"/>
          </w:tcPr>
          <w:p>
            <w:pPr>
              <w:ind w:firstLine="442"/>
              <w:keepLines w:val="0"/>
              <w:keepNext w:val="0"/>
              <w:pageBreakBefore w:val="0"/>
              <w:spacing w:line="50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依据《医疗废物分类目录》，在医院各科室、病房设置分类收集点，收集员每日按规定时间（有病床的医疗机构至少每天一次，无床位的当日医疗活动结束前），使用专用工具，将各收集点的医疗废物分类收集至医院指定地点。​</w:t>
            </w:r>
            <w:r/>
          </w:p>
          <w:p>
            <w:pPr>
              <w:ind w:firstLine="442"/>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Cs/>
                <w:sz w:val="24"/>
                <w:lang w:val="en-US" w:eastAsia="zh-CN"/>
              </w:rPr>
              <w:t xml:space="preserve">对病原体培养基、标本和菌种、毒种保存液等高危险废物，在医疗机构收集前应就地消毒，消毒记录完整留存。收集时，检查废物包装是否密封、标识是否清晰，确保废物分类准确，不混装。</w:t>
            </w:r>
            <w:r/>
          </w:p>
        </w:tc>
      </w:tr>
    </w:tbl>
    <w:p>
      <w:pPr>
        <w:pStyle w:val="779"/>
        <w:rPr>
          <w:rFonts w:hint="eastAsia" w:ascii="宋体" w:hAnsi="宋体" w:eastAsia="宋体" w:cs="宋体"/>
          <w:color w:val="auto"/>
          <w:sz w:val="24"/>
          <w:szCs w:val="24"/>
          <w:highlight w:val="none"/>
          <w:u w:val="none"/>
          <w:lang w:val="en-US" w:eastAsia="zh-CN"/>
        </w:rPr>
      </w:pPr>
      <w:r/>
      <w:bookmarkStart w:id="12" w:name="_Toc12052"/>
      <w:r/>
      <w:bookmarkStart w:id="13" w:name="_Toc26417"/>
      <w:r/>
      <w:bookmarkStart w:id="14" w:name="_Toc27983"/>
      <w:r/>
      <w:r/>
    </w:p>
    <w:p>
      <w:pPr>
        <w:pStyle w:val="779"/>
        <w:ind w:firstLine="470"/>
        <w:rPr>
          <w:rFonts w:hint="default"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3.10应急保障要求</w:t>
      </w:r>
      <w:r/>
    </w:p>
    <w:tbl>
      <w:tblPr>
        <w:tblStyle w:val="808"/>
        <w:tblW w:w="4892"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38"/>
        <w:gridCol w:w="6600"/>
      </w:tblGrid>
      <w:tr>
        <w:trPr>
          <w:trHeight w:val="590"/>
        </w:trPr>
        <w:tc>
          <w:tcPr>
            <w:tcW w:w="727"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序号</w:t>
            </w:r>
            <w:r/>
          </w:p>
        </w:tc>
        <w:tc>
          <w:tcPr>
            <w:tcW w:w="1338"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服务内容</w:t>
            </w:r>
            <w:r/>
          </w:p>
        </w:tc>
        <w:tc>
          <w:tcPr>
            <w:tcW w:w="6600" w:type="dxa"/>
            <w:vAlign w:val="center"/>
            <w:textDirection w:val="lrTb"/>
            <w:noWrap w:val="false"/>
          </w:tcPr>
          <w:p>
            <w:pPr>
              <w:ind w:left="0"/>
              <w:jc w:val="center"/>
              <w:keepLines w:val="0"/>
              <w:keepNext w:val="0"/>
              <w:pageBreakBefore w:val="0"/>
              <w:spacing w:line="50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服务标准</w:t>
            </w:r>
            <w:r/>
          </w:p>
        </w:tc>
      </w:tr>
      <w:tr>
        <w:trPr>
          <w:trHeight w:val="454"/>
        </w:trPr>
        <w:tc>
          <w:tcPr>
            <w:tcW w:w="727"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1</w:t>
            </w:r>
            <w:r/>
          </w:p>
        </w:tc>
        <w:tc>
          <w:tcPr>
            <w:tcW w:w="1338"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基本内容</w:t>
            </w:r>
            <w:r/>
          </w:p>
        </w:tc>
        <w:tc>
          <w:tcPr>
            <w:tcW w:w="6600" w:type="dxa"/>
            <w:vAlign w:val="center"/>
            <w:textDirection w:val="lrTb"/>
            <w:noWrap w:val="false"/>
          </w:tcPr>
          <w:p>
            <w:pPr>
              <w:ind w:firstLine="442"/>
              <w:keepLines w:val="0"/>
              <w:keepNext w:val="0"/>
              <w:pageBreakBefore w:val="0"/>
              <w:spacing w:line="50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中标供应商需成立应急工作小组，明确组长（项目经理）、副组长（主管）及成员职责，确保应急事件发生时“15分钟内小组到位、30分钟内现场处置”。同时，每栋楼宇需指定2名应急联络员（如楼层保洁员），负责第一时间上报异常情况（如发现火情、设备故障）。</w:t>
            </w:r>
            <w:r/>
          </w:p>
          <w:p>
            <w:pPr>
              <w:ind w:firstLine="442"/>
              <w:keepLines w:val="0"/>
              <w:keepNext w:val="0"/>
              <w:pageBreakBefore w:val="0"/>
              <w:spacing w:line="50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（2）每年至少组织2次综合应急演练和4次专项应急演练，演练后及时进行总结，不断完善应急预案。</w:t>
            </w:r>
            <w:r/>
          </w:p>
        </w:tc>
      </w:tr>
      <w:tr>
        <w:trPr>
          <w:trHeight w:val="454"/>
        </w:trPr>
        <w:tc>
          <w:tcPr>
            <w:tcW w:w="727"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2</w:t>
            </w:r>
            <w:r/>
          </w:p>
        </w:tc>
        <w:tc>
          <w:tcPr>
            <w:tcW w:w="1338"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停电预案</w:t>
            </w:r>
            <w:r/>
          </w:p>
        </w:tc>
        <w:tc>
          <w:tcPr>
            <w:tcW w:w="6600" w:type="dxa"/>
            <w:vAlign w:val="center"/>
            <w:textDirection w:val="lrTb"/>
            <w:noWrap w:val="false"/>
          </w:tcPr>
          <w:p>
            <w:pPr>
              <w:ind w:firstLine="442"/>
              <w:keepLines w:val="0"/>
              <w:keepNext w:val="0"/>
              <w:pageBreakBefore w:val="0"/>
              <w:spacing w:line="50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全市电网在遭受严重自然灾害（突发火灾、雷击、风灾、水灾等）影响或发生重大事故时，发生设备故障或大面积停电，而影响医院供电；医院内部电网故障造成医院内电网减供负荷而引起的医院停电事件。</w:t>
            </w:r>
            <w:r/>
          </w:p>
          <w:p>
            <w:pPr>
              <w:ind w:firstLine="442"/>
              <w:keepLines w:val="0"/>
              <w:keepNext w:val="0"/>
              <w:pageBreakBefore w:val="0"/>
              <w:spacing w:line="50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分类分级：依据停电事件可能造成的危害程度、紧急程度和发展态势，把预警级别分为四级：Ⅰ级（特别严重）、Ⅱ级（严重）、Ⅲ级（较重）、Ⅳ级（一般），依次用红色、橙色、黄色和蓝色表示。本院将停电事件分为四级：Ⅰ级（医院主供高压电源与备供高压电源都停电）、Ⅱ级（单线路高压停电）、Ⅲ级（低压停电）、Ⅳ级（局部空开跳闸）。</w:t>
            </w:r>
            <w:r/>
          </w:p>
          <w:p>
            <w:pPr>
              <w:ind w:firstLine="442"/>
              <w:keepLines w:val="0"/>
              <w:keepNext w:val="0"/>
              <w:pageBreakBefore w:val="0"/>
              <w:spacing w:line="50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局部空开跳闸：电工班值班人员处理故障，同时报告班长。值班人员在发现局部空开跳闸后，立即实施应急方案，同时报告班长，做好相关记录。在恢复供电后做好观察与停电科室的回访工作。低压停电：值班人员在发现低压停电时，立即汇报总务科和班长，同时；非上班时间报告院行政总值班。且先实施应急措施，在科长和班长到停电现场，由电工班值班人员处理故障，报告停电事件应急预案小组副组长，依据总指挥的命令启动预案的相应响应。</w:t>
            </w:r>
            <w:r/>
          </w:p>
          <w:p>
            <w:pPr>
              <w:ind w:firstLine="442"/>
              <w:keepLines w:val="0"/>
              <w:keepNext w:val="0"/>
              <w:pageBreakBefore w:val="0"/>
              <w:spacing w:line="50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单线路高压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p>
            <w:pPr>
              <w:ind w:firstLine="442"/>
              <w:keepLines w:val="0"/>
              <w:keepNext w:val="0"/>
              <w:pageBreakBefore w:val="0"/>
              <w:spacing w:line="50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医院主供高压电源与备供高压电源停电：值班人员在发现低压停电或供电部门临时通知停电时，立即汇报总务科和班长，同时，上班时间报告院办公室；非上班时间报告院行政总值班。报告应急领导小组组长，依据总指挥的命令启动预案，根据应急响应的级别实施操作。值班人员要先实施应急措施，在根据停电事件应急预案小组的应急方案立即实施。必要时启用自备发电机，要优先保证重点科室的供电。认真做好停电的原因、处理过程的详细记录及自备发电机运行记录。</w:t>
            </w:r>
            <w:r/>
          </w:p>
        </w:tc>
      </w:tr>
      <w:tr>
        <w:trPr>
          <w:trHeight w:val="454"/>
        </w:trPr>
        <w:tc>
          <w:tcPr>
            <w:tcW w:w="727"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3</w:t>
            </w:r>
            <w:r/>
          </w:p>
        </w:tc>
        <w:tc>
          <w:tcPr>
            <w:tcW w:w="1338"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停水预案</w:t>
            </w:r>
            <w:r/>
          </w:p>
        </w:tc>
        <w:tc>
          <w:tcPr>
            <w:tcW w:w="6600" w:type="dxa"/>
            <w:vAlign w:val="center"/>
            <w:textDirection w:val="lrTb"/>
            <w:noWrap w:val="false"/>
          </w:tcPr>
          <w:p>
            <w:pPr>
              <w:ind w:firstLine="442"/>
              <w:keepLines w:val="0"/>
              <w:keepNext w:val="0"/>
              <w:pageBreakBefore w:val="0"/>
              <w:spacing w:line="50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立即关闭非必要用水区域（如绿化灌溉），优先保障手术室、检验科用水，同时启用储备水箱，联系自来水公司抢修，4 小时内恢复正常供水；若停水超过 8 小时，需协调水车运送生活用水，确保患者饮水与基本清洁需求。</w:t>
            </w:r>
            <w:r/>
          </w:p>
        </w:tc>
      </w:tr>
      <w:tr>
        <w:trPr>
          <w:trHeight w:val="454"/>
        </w:trPr>
        <w:tc>
          <w:tcPr>
            <w:tcW w:w="727" w:type="dxa"/>
            <w:vAlign w:val="center"/>
            <w:textDirection w:val="lrTb"/>
            <w:noWrap w:val="false"/>
          </w:tcPr>
          <w:p>
            <w:pPr>
              <w:jc w:val="center"/>
              <w:keepLines w:val="0"/>
              <w:keepNext w:val="0"/>
              <w:pageBreakBefore w:val="0"/>
              <w:spacing w:line="500" w:lineRule="exact"/>
              <w:rPr>
                <w:rFonts w:hint="default" w:ascii="宋体" w:hAnsi="宋体" w:eastAsia="宋体" w:cs="宋体"/>
                <w:bCs/>
                <w:sz w:val="24"/>
                <w:lang w:val="en-US" w:eastAsia="zh-CN" w:bidi="ar"/>
              </w:rPr>
            </w:pPr>
            <w:r>
              <w:rPr>
                <w:rFonts w:hint="eastAsia" w:ascii="宋体" w:hAnsi="宋体" w:eastAsia="宋体" w:cs="宋体"/>
                <w:bCs/>
                <w:sz w:val="24"/>
                <w:lang w:val="en-US" w:eastAsia="zh-CN" w:bidi="ar"/>
              </w:rPr>
              <w:t xml:space="preserve">4</w:t>
            </w:r>
            <w:r/>
          </w:p>
        </w:tc>
        <w:tc>
          <w:tcPr>
            <w:tcW w:w="1338" w:type="dxa"/>
            <w:vAlign w:val="center"/>
            <w:textDirection w:val="lrTb"/>
            <w:noWrap w:val="false"/>
          </w:tcPr>
          <w:p>
            <w:pPr>
              <w:jc w:val="center"/>
              <w:keepLines w:val="0"/>
              <w:keepNext w:val="0"/>
              <w:pageBreakBefore w:val="0"/>
              <w:spacing w:line="500" w:lineRule="exact"/>
              <w:rPr>
                <w:rFonts w:hint="eastAsia" w:ascii="宋体" w:hAnsi="宋体" w:eastAsia="宋体" w:cs="宋体"/>
                <w:bCs/>
                <w:sz w:val="24"/>
                <w:lang w:val="en-US" w:eastAsia="zh-CN" w:bidi="ar"/>
              </w:rPr>
            </w:pPr>
            <w:r>
              <w:rPr>
                <w:rFonts w:hint="eastAsia" w:ascii="宋体" w:hAnsi="宋体" w:eastAsia="宋体" w:cs="宋体"/>
                <w:bCs/>
                <w:sz w:val="24"/>
                <w:lang w:val="en-US" w:eastAsia="zh-CN" w:bidi="ar"/>
              </w:rPr>
              <w:t xml:space="preserve">公共卫生与环境事件处理</w:t>
            </w:r>
            <w:r/>
          </w:p>
        </w:tc>
        <w:tc>
          <w:tcPr>
            <w:tcW w:w="6600" w:type="dxa"/>
            <w:vAlign w:val="center"/>
            <w:textDirection w:val="lrTb"/>
            <w:noWrap w:val="false"/>
          </w:tcPr>
          <w:p>
            <w:pPr>
              <w:ind w:firstLine="442"/>
              <w:keepLines w:val="0"/>
              <w:keepNext w:val="0"/>
              <w:pageBreakBefore w:val="0"/>
              <w:spacing w:line="50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配合医院划定隔离区域（如发热门诊、临时观察室），2 小时内完成隔离通道搭建（使用警戒线+防护挡板），对污染区域（如患者呕吐物、分泌物）用含氯消毒剂（2000mg/L）擦拭消毒，每日增加公共区域通风（≥6次/小时）。​</w:t>
            </w:r>
            <w:r/>
          </w:p>
          <w:p>
            <w:pPr>
              <w:ind w:firstLine="442"/>
              <w:keepLines w:val="0"/>
              <w:keepNext w:val="0"/>
              <w:pageBreakBefore w:val="0"/>
              <w:spacing w:line="500" w:lineRule="exact"/>
              <w:widowControl w:val="off"/>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医疗废物管理：对感染性废物（如防护服、口罩）实行“双层包装 + 单独标识”，由专人专车转运，避免与其他废物混放，暂存点每日消毒2次（紫外线照射60分钟）。</w:t>
            </w:r>
            <w:r/>
          </w:p>
        </w:tc>
      </w:tr>
    </w:tbl>
    <w:p>
      <w:pPr>
        <w:ind w:firstLine="480"/>
        <w:jc w:val="left"/>
        <w:spacing w:line="520" w:lineRule="exact"/>
        <w:widowControl/>
        <w:rPr>
          <w:rFonts w:hint="eastAsia" w:ascii="宋体" w:hAnsi="宋体" w:eastAsia="宋体" w:cs="宋体"/>
          <w:b/>
          <w:bCs/>
          <w:color w:val="000000"/>
          <w:sz w:val="24"/>
          <w:szCs w:val="20"/>
          <w:lang w:val="en-US" w:eastAsia="zh-CN"/>
        </w:rPr>
      </w:pPr>
      <w:r>
        <w:rPr>
          <w:rFonts w:hint="eastAsia" w:ascii="宋体" w:hAnsi="宋体" w:eastAsia="宋体" w:cs="宋体"/>
          <w:b/>
          <w:bCs/>
          <w:color w:val="000000"/>
          <w:sz w:val="24"/>
          <w:szCs w:val="20"/>
          <w:lang w:val="en-US" w:eastAsia="zh-CN"/>
        </w:rPr>
        <w:t xml:space="preserve">4</w:t>
      </w:r>
      <w:r>
        <w:rPr>
          <w:rFonts w:hint="eastAsia" w:ascii="宋体" w:hAnsi="宋体" w:cs="宋体"/>
          <w:b/>
          <w:bCs/>
          <w:color w:val="000000"/>
          <w:sz w:val="24"/>
          <w:szCs w:val="20"/>
          <w:lang w:val="en-US" w:eastAsia="zh-CN"/>
        </w:rPr>
        <w:t xml:space="preserve">、</w:t>
      </w:r>
      <w:r>
        <w:rPr>
          <w:rFonts w:hint="eastAsia" w:ascii="宋体" w:hAnsi="宋体" w:eastAsia="宋体" w:cs="宋体"/>
          <w:b/>
          <w:bCs/>
          <w:color w:val="000000"/>
          <w:sz w:val="24"/>
          <w:szCs w:val="20"/>
          <w:lang w:val="en-US" w:eastAsia="zh-CN"/>
        </w:rPr>
        <w:t xml:space="preserve">供应商履行合同所需的设备、工具及耗材</w:t>
      </w:r>
      <w:r/>
    </w:p>
    <w:p>
      <w:pPr>
        <w:ind w:firstLine="480"/>
        <w:jc w:val="left"/>
        <w:spacing w:line="52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需要供应商提供作业设备、工具（自有或租赁）及耗材用于物业管理服务，具有清单如下：</w:t>
      </w:r>
      <w:r/>
    </w:p>
    <w:tbl>
      <w:tblPr>
        <w:tblStyle w:val="782"/>
        <w:tblW w:w="8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9"/>
        <w:gridCol w:w="3255"/>
        <w:gridCol w:w="1454"/>
        <w:gridCol w:w="3041"/>
      </w:tblGrid>
      <w:tr>
        <w:trPr>
          <w:jc w:val="center"/>
          <w:trHeight w:val="658"/>
        </w:trPr>
        <w:tc>
          <w:tcPr>
            <w:tcW w:w="90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序号</w:t>
            </w:r>
            <w:r/>
          </w:p>
        </w:tc>
        <w:tc>
          <w:tcPr>
            <w:tcW w:w="3255"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rPr>
              <w:t xml:space="preserve">设备名称</w:t>
            </w:r>
            <w:r/>
          </w:p>
        </w:tc>
        <w:tc>
          <w:tcPr>
            <w:tcW w:w="145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4"/>
                <w:sz w:val="24"/>
                <w:szCs w:val="24"/>
                <w:highlight w:val="none"/>
              </w:rPr>
              <w:t xml:space="preserve">数量</w:t>
            </w:r>
            <w:r/>
          </w:p>
        </w:tc>
        <w:tc>
          <w:tcPr>
            <w:tcW w:w="304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4"/>
                <w:sz w:val="24"/>
                <w:szCs w:val="24"/>
                <w:highlight w:val="none"/>
              </w:rPr>
              <w:t xml:space="preserve">用途</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驾驶式洗扫一体机</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1台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室外路面广场清洁</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2</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驾驶式全自动洗地机</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rPr>
              <w:t xml:space="preserve">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大厅走廊地面清洁</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手推式全自动洗地机</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病区走廊地面清洁</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4</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高速抛光机</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PVC蜡面抛光养护</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石材处理机</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石材翻新抛光保养</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6</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加重单擦机</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清洗地面PVC起蜡</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7</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三速吹风机</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地面地毯快速吹干</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8</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吸水吸尘机</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5台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吸水吸尘</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高压水枪</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道路地面外墙清洗</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10</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清洁手推车</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60辆</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保洁员清洁作业车</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11</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肩背式吸尘机</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物表、地面除尘</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12</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垃圾运送车</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4"/>
                <w:sz w:val="24"/>
                <w:szCs w:val="24"/>
                <w:highlight w:val="none"/>
              </w:rPr>
              <w:t xml:space="preserve">5</w:t>
            </w:r>
            <w:r>
              <w:rPr>
                <w:rFonts w:hint="eastAsia" w:ascii="宋体" w:hAnsi="宋体" w:cs="宋体"/>
                <w:color w:val="auto"/>
                <w:spacing w:val="4"/>
                <w:sz w:val="24"/>
                <w:szCs w:val="24"/>
                <w:highlight w:val="none"/>
                <w:lang w:val="en-US" w:eastAsia="zh-CN"/>
              </w:rPr>
              <w:t xml:space="preserve">辆</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生活医疗垃圾运送</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13</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斗车盖</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4"/>
                <w:sz w:val="24"/>
                <w:szCs w:val="24"/>
                <w:highlight w:val="none"/>
              </w:rPr>
              <w:t xml:space="preserve">5</w:t>
            </w:r>
            <w:r>
              <w:rPr>
                <w:rFonts w:hint="eastAsia" w:ascii="宋体" w:hAnsi="宋体" w:cs="宋体"/>
                <w:color w:val="auto"/>
                <w:spacing w:val="4"/>
                <w:sz w:val="24"/>
                <w:szCs w:val="24"/>
                <w:highlight w:val="none"/>
                <w:lang w:val="en-US" w:eastAsia="zh-CN"/>
              </w:rPr>
              <w:t xml:space="preserve">个</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生活医疗垃圾运送</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14</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清洁车储物箱</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5"/>
                <w:sz w:val="24"/>
                <w:szCs w:val="24"/>
                <w:highlight w:val="none"/>
              </w:rPr>
              <w:t xml:space="preserve">60</w:t>
            </w:r>
            <w:r>
              <w:rPr>
                <w:rFonts w:hint="eastAsia" w:ascii="宋体" w:hAnsi="宋体" w:cs="宋体"/>
                <w:color w:val="auto"/>
                <w:spacing w:val="5"/>
                <w:sz w:val="24"/>
                <w:szCs w:val="24"/>
                <w:highlight w:val="none"/>
                <w:lang w:val="en-US" w:eastAsia="zh-CN"/>
              </w:rPr>
              <w:t xml:space="preserve">个</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工具整理箱</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15</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清洁车储物箱</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5"/>
                <w:sz w:val="24"/>
                <w:szCs w:val="24"/>
                <w:highlight w:val="none"/>
              </w:rPr>
              <w:t xml:space="preserve">60</w:t>
            </w:r>
            <w:r>
              <w:rPr>
                <w:rFonts w:hint="eastAsia" w:ascii="宋体" w:hAnsi="宋体" w:cs="宋体"/>
                <w:color w:val="auto"/>
                <w:spacing w:val="5"/>
                <w:sz w:val="24"/>
                <w:szCs w:val="24"/>
                <w:highlight w:val="none"/>
                <w:lang w:val="en-US" w:eastAsia="zh-CN"/>
              </w:rPr>
              <w:t xml:space="preserve">个</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工具整理箱</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手提抛光机</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抛光、打蜡</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17</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电动尘推车</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5"/>
                <w:sz w:val="24"/>
                <w:szCs w:val="24"/>
                <w:highlight w:val="none"/>
              </w:rPr>
              <w:t xml:space="preserve">2</w:t>
            </w:r>
            <w:r>
              <w:rPr>
                <w:rFonts w:hint="eastAsia" w:ascii="宋体" w:hAnsi="宋体" w:cs="宋体"/>
                <w:color w:val="auto"/>
                <w:spacing w:val="5"/>
                <w:sz w:val="24"/>
                <w:szCs w:val="24"/>
                <w:highlight w:val="none"/>
                <w:lang w:val="en-US" w:eastAsia="zh-CN"/>
              </w:rPr>
              <w:t xml:space="preserve">辆</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推尘</w:t>
            </w:r>
            <w:r/>
          </w:p>
        </w:tc>
      </w:tr>
      <w:tr>
        <w:trPr>
          <w:jc w:val="center"/>
          <w:trHeight w:val="559"/>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18</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管道疏通机</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台</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疏通下水道</w:t>
            </w:r>
            <w:r/>
          </w:p>
        </w:tc>
      </w:tr>
      <w:tr>
        <w:trPr>
          <w:jc w:val="center"/>
          <w:trHeight w:val="620"/>
        </w:trPr>
        <w:tc>
          <w:tcPr>
            <w:tcW w:w="90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19</w:t>
            </w:r>
            <w:r/>
          </w:p>
        </w:tc>
        <w:tc>
          <w:tcPr>
            <w:tcW w:w="32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医疗废物自动信息回收转运车</w:t>
            </w:r>
            <w:r/>
          </w:p>
        </w:tc>
        <w:tc>
          <w:tcPr>
            <w:tcW w:w="14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辆</w:t>
            </w:r>
            <w:r/>
          </w:p>
        </w:tc>
        <w:tc>
          <w:tcPr>
            <w:tcW w:w="30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医废回收</w:t>
            </w:r>
            <w:r/>
          </w:p>
        </w:tc>
      </w:tr>
    </w:tbl>
    <w:p>
      <w:pPr>
        <w:ind w:firstLine="480"/>
        <w:jc w:val="left"/>
        <w:spacing w:line="52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5、物业管理服务人员需求</w:t>
      </w:r>
      <w:r/>
    </w:p>
    <w:tbl>
      <w:tblPr>
        <w:tblStyle w:val="808"/>
        <w:tblW w:w="0" w:type="auto"/>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7"/>
        <w:gridCol w:w="3651"/>
        <w:gridCol w:w="1825"/>
        <w:gridCol w:w="2325"/>
      </w:tblGrid>
      <w:tr>
        <w:trPr>
          <w:trHeight w:val="571"/>
        </w:trPr>
        <w:tc>
          <w:tcPr>
            <w:tcW w:w="937"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3651"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岗 位</w:t>
            </w:r>
            <w:r/>
          </w:p>
        </w:tc>
        <w:tc>
          <w:tcPr>
            <w:tcW w:w="1825"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人员数量</w:t>
            </w:r>
            <w:r/>
          </w:p>
        </w:tc>
        <w:tc>
          <w:tcPr>
            <w:tcW w:w="2325" w:type="dxa"/>
            <w:vAlign w:val="center"/>
            <w:textDirection w:val="lrTb"/>
            <w:noWrap w:val="false"/>
          </w:tcPr>
          <w:p>
            <w:pPr>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备注</w:t>
            </w:r>
            <w:r/>
          </w:p>
        </w:tc>
      </w:tr>
      <w:tr>
        <w:trPr>
          <w:trHeight w:val="504" w:hRule="exact"/>
        </w:trPr>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项目经理</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504" w:hRule="exact"/>
        </w:trPr>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主管</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504" w:hRule="exact"/>
        </w:trPr>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门诊保洁、医技楼保洁</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504" w:hRule="exact"/>
        </w:trPr>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住院部保洁、手术室、外围</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25</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494" w:hRule="exact"/>
        </w:trPr>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医技</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504" w:hRule="exact"/>
        </w:trPr>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6</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陪检运送（含药房）</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504" w:hRule="exact"/>
        </w:trPr>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7</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氧气班</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504" w:hRule="exact"/>
        </w:trPr>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医废收集</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504" w:hRule="exact"/>
        </w:trPr>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9</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水电工</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504" w:hRule="exact"/>
        </w:trPr>
        <w:tc>
          <w:tcPr>
            <w:tcW w:w="93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10</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门诊导医</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9</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504" w:hRule="exact"/>
        </w:trPr>
        <w:tc>
          <w:tcPr>
            <w:tcW w:w="93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收费窗口</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504" w:hRule="exact"/>
        </w:trPr>
        <w:tc>
          <w:tcPr>
            <w:tcW w:w="93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12</w:t>
            </w:r>
            <w:r/>
          </w:p>
        </w:tc>
        <w:tc>
          <w:tcPr>
            <w:shd w:val="clear" w:color="auto" w:fill="auto"/>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行政楼文员</w:t>
            </w:r>
            <w:r/>
          </w:p>
        </w:tc>
        <w:tc>
          <w:tcPr>
            <w:tcW w:w="1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rHeight w:val="847" w:hRule="exact"/>
        </w:trPr>
        <w:tc>
          <w:tcPr>
            <w:tcW w:w="93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合计人数</w:t>
            </w:r>
            <w:r/>
          </w:p>
        </w:tc>
        <w:tc>
          <w:tcPr>
            <w:tcW w:w="365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W w:w="1825"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60</w:t>
            </w:r>
            <w:r/>
          </w:p>
        </w:tc>
        <w:tc>
          <w:tcPr>
            <w:tcW w:w="23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特殊岗位津贴12人</w:t>
            </w:r>
            <w:r/>
          </w:p>
        </w:tc>
      </w:tr>
    </w:tbl>
    <w:p>
      <w:pPr>
        <w:ind w:firstLine="480"/>
        <w:jc w:val="left"/>
        <w:spacing w:line="520" w:lineRule="exact"/>
        <w:widowControl/>
        <w:rPr>
          <w:rFonts w:hint="eastAsia" w:ascii="宋体" w:hAnsi="宋体" w:eastAsia="宋体" w:cs="宋体"/>
          <w:color w:val="000000"/>
          <w:sz w:val="24"/>
          <w:szCs w:val="20"/>
          <w:lang w:val="zh-CN" w:eastAsia="zh-CN"/>
        </w:rPr>
      </w:pPr>
      <w:r>
        <w:rPr>
          <w:rFonts w:hint="eastAsia" w:ascii="宋体" w:hAnsi="宋体" w:eastAsia="宋体" w:cs="宋体"/>
          <w:color w:val="000000"/>
          <w:sz w:val="24"/>
          <w:szCs w:val="20"/>
          <w:lang w:val="en-US" w:eastAsia="zh-CN"/>
        </w:rPr>
        <w:t xml:space="preserve">注：供应商</w:t>
      </w:r>
      <w:r>
        <w:rPr>
          <w:rFonts w:hint="eastAsia" w:ascii="宋体" w:hAnsi="宋体" w:eastAsia="宋体" w:cs="宋体"/>
          <w:color w:val="000000"/>
          <w:sz w:val="24"/>
          <w:szCs w:val="20"/>
          <w:lang w:val="zh-CN" w:eastAsia="zh-CN"/>
        </w:rPr>
        <w:t xml:space="preserve">应当按国家相关法律法规，合理确定服务人员工资标准、工作时间等。</w:t>
      </w:r>
      <w:r/>
    </w:p>
    <w:p>
      <w:pPr>
        <w:ind w:firstLine="480"/>
        <w:jc w:val="left"/>
        <w:spacing w:line="520" w:lineRule="exact"/>
        <w:widowControl/>
        <w:rPr>
          <w:rFonts w:hint="eastAsia" w:ascii="宋体" w:hAnsi="宋体" w:eastAsia="宋体" w:cs="宋体"/>
          <w:color w:val="000000"/>
          <w:sz w:val="24"/>
          <w:szCs w:val="20"/>
          <w:lang w:val="zh-CN" w:eastAsia="zh-CN"/>
        </w:rPr>
      </w:pPr>
      <w:r>
        <w:rPr>
          <w:rFonts w:hint="eastAsia" w:ascii="宋体" w:hAnsi="宋体" w:eastAsia="宋体" w:cs="宋体"/>
          <w:color w:val="000000"/>
          <w:sz w:val="24"/>
          <w:szCs w:val="20"/>
          <w:lang w:val="en-US" w:eastAsia="zh-CN"/>
        </w:rPr>
        <w:t xml:space="preserve">5.1供应商应当自行为服务人员办理必需的保险</w:t>
      </w:r>
      <w:r>
        <w:rPr>
          <w:rFonts w:hint="eastAsia" w:ascii="宋体" w:hAnsi="宋体" w:eastAsia="宋体" w:cs="宋体"/>
          <w:color w:val="000000"/>
          <w:sz w:val="24"/>
          <w:szCs w:val="20"/>
          <w:lang w:val="zh-CN" w:eastAsia="zh-CN"/>
        </w:rPr>
        <w:t xml:space="preserve">，有关人员伤亡及第三者责任险均</w:t>
      </w:r>
      <w:r>
        <w:rPr>
          <w:rFonts w:hint="eastAsia" w:ascii="宋体" w:hAnsi="宋体" w:eastAsia="宋体" w:cs="宋体"/>
          <w:color w:val="000000"/>
          <w:sz w:val="24"/>
          <w:szCs w:val="20"/>
          <w:lang w:val="en-US" w:eastAsia="zh-CN"/>
        </w:rPr>
        <w:t xml:space="preserve">应当</w:t>
      </w:r>
      <w:r>
        <w:rPr>
          <w:rFonts w:hint="eastAsia" w:ascii="宋体" w:hAnsi="宋体" w:eastAsia="宋体" w:cs="宋体"/>
          <w:color w:val="000000"/>
          <w:sz w:val="24"/>
          <w:szCs w:val="20"/>
          <w:lang w:val="zh-CN" w:eastAsia="zh-CN"/>
        </w:rPr>
        <w:t xml:space="preserve">考虑在报价因素中。</w:t>
      </w:r>
      <w:bookmarkEnd w:id="12"/>
      <w:r/>
      <w:bookmarkEnd w:id="13"/>
      <w:r/>
      <w:bookmarkEnd w:id="14"/>
      <w:r/>
      <w:bookmarkStart w:id="15" w:name="_Toc21574"/>
      <w:r/>
      <w:bookmarkStart w:id="16" w:name="_Toc1962"/>
      <w:r/>
      <w:bookmarkStart w:id="17" w:name="_Toc20385"/>
      <w:r/>
      <w:r/>
    </w:p>
    <w:p>
      <w:pPr>
        <w:ind w:firstLine="480"/>
        <w:jc w:val="left"/>
        <w:spacing w:line="52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5.2</w:t>
      </w:r>
      <w:r>
        <w:rPr>
          <w:rFonts w:hint="eastAsia" w:ascii="宋体" w:hAnsi="宋体" w:eastAsia="宋体" w:cs="宋体"/>
          <w:color w:val="000000"/>
          <w:sz w:val="24"/>
          <w:szCs w:val="20"/>
          <w:lang w:val="zh-CN" w:eastAsia="zh-CN"/>
        </w:rPr>
        <w:t xml:space="preserve">根据采购人的要求，中标供应商应为本项目承包区域内各项服务工作配备足够人员。中标供应商要合法用工，并派用与医院后勤服务相适应的工人。所有人员必须遵守国家法律、法规及业主的各项规章制度，具有良好素养和上岗资质，具</w:t>
      </w:r>
      <w:r>
        <w:rPr>
          <w:rFonts w:hint="eastAsia" w:ascii="宋体" w:hAnsi="宋体" w:eastAsia="宋体" w:cs="宋体"/>
          <w:color w:val="000000"/>
          <w:sz w:val="24"/>
          <w:szCs w:val="20"/>
          <w:lang w:val="en-US" w:eastAsia="zh-CN"/>
        </w:rPr>
        <w:t xml:space="preserve">有与工作相适应的文化程度，无不良记录及嗜好，爱岗敬业、工作勤快，礼貌待人、和蔼处事，相貌端正、身体健康（无重大器官残疾或传染疾病）。</w:t>
      </w:r>
      <w:r/>
    </w:p>
    <w:p>
      <w:pPr>
        <w:ind w:firstLine="480"/>
        <w:jc w:val="left"/>
        <w:spacing w:line="52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5.3各类物业工作人员应参加相关的专业知识培训，中标供应商必须对所录用人员必须严格政审，保证录用人员没有刑事犯罪记录，持体检证明及相应专业岗位资格证。中标物业单位所录用人员必须符合国家相关的法律法规的要求（包括国家劳动法和地方相关管理规定），所有用工人员录用后须到甲方备案，于合同签订之日起七日内所有服务人员必须按要求持证上岗（包括项目需求中要求的健康体检报告等），并向归口管理部门进行备案。</w:t>
      </w:r>
      <w:r>
        <w:rPr>
          <w:rFonts w:hint="eastAsia" w:ascii="宋体" w:hAnsi="宋体" w:eastAsia="宋体" w:cs="宋体"/>
          <w:b/>
          <w:bCs/>
          <w:color w:val="000000"/>
          <w:sz w:val="24"/>
          <w:szCs w:val="20"/>
          <w:lang w:val="en-US" w:eastAsia="zh-CN"/>
        </w:rPr>
        <w:t xml:space="preserve">投标时无需提供以上人员证书。</w:t>
      </w:r>
      <w:r/>
    </w:p>
    <w:p>
      <w:pPr>
        <w:ind w:firstLine="480"/>
        <w:jc w:val="left"/>
        <w:spacing w:line="520" w:lineRule="exact"/>
        <w:widowControl/>
        <w:rPr>
          <w:rFonts w:hint="eastAsia" w:ascii="宋体" w:hAnsi="宋体" w:eastAsia="宋体" w:cs="宋体"/>
          <w:b/>
          <w:bCs/>
          <w:color w:val="000000"/>
          <w:sz w:val="24"/>
          <w:szCs w:val="20"/>
          <w:lang w:val="en-US" w:eastAsia="zh-CN"/>
        </w:rPr>
      </w:pPr>
      <w:r>
        <w:rPr>
          <w:rFonts w:hint="eastAsia" w:ascii="宋体" w:hAnsi="宋体" w:eastAsia="宋体" w:cs="宋体"/>
          <w:b/>
          <w:bCs/>
          <w:color w:val="000000"/>
          <w:sz w:val="24"/>
          <w:szCs w:val="20"/>
          <w:lang w:val="en-US" w:eastAsia="zh-CN"/>
        </w:rPr>
        <w:t xml:space="preserve">6</w:t>
      </w:r>
      <w:r>
        <w:rPr>
          <w:rFonts w:hint="eastAsia" w:ascii="宋体" w:hAnsi="宋体" w:cs="宋体"/>
          <w:b/>
          <w:bCs/>
          <w:color w:val="000000"/>
          <w:sz w:val="24"/>
          <w:szCs w:val="20"/>
          <w:lang w:val="en-US" w:eastAsia="zh-CN"/>
        </w:rPr>
        <w:t xml:space="preserve">、</w:t>
      </w:r>
      <w:r>
        <w:rPr>
          <w:rFonts w:hint="eastAsia" w:ascii="宋体" w:hAnsi="宋体" w:eastAsia="宋体" w:cs="宋体"/>
          <w:b/>
          <w:bCs/>
          <w:color w:val="000000"/>
          <w:sz w:val="24"/>
          <w:szCs w:val="20"/>
          <w:lang w:val="en-US" w:eastAsia="zh-CN"/>
        </w:rPr>
        <w:t xml:space="preserve">商务要求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6.1实施期限：</w:t>
      </w:r>
      <w:r>
        <w:rPr>
          <w:rFonts w:hint="eastAsia" w:ascii="宋体" w:hAnsi="宋体" w:eastAsia="宋体" w:cs="宋体"/>
          <w:color w:val="auto"/>
          <w:sz w:val="24"/>
          <w:szCs w:val="24"/>
          <w:highlight w:val="none"/>
          <w:lang w:val="en-US" w:eastAsia="zh-CN"/>
        </w:rPr>
        <w:t xml:space="preserve">服务期一年。</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6.2付款方式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预付款支付时间：合同签订后，甲方收到乙方等额的合法发票后10个工作日内，预付款支付比例为合同金额的30%。</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月30日前，甲方根据服务单位管理资料、费用支付申请与甲方考核结果（包括服务与培训情况、工资发放、社保缴纳等），甲方收到乙方等额的合法发票后10个工作日内向乙方支付上一个月服务费（付款时，扣回预付款），付款时须按照国家相关规定及甲方的要求提供有效的增值税发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注：（1）按以上付款，无任何银行利息，由乙方事先提供税务发票，一律通过银行结转。</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（2）合同期内，物业服务费除因政策性因素调整外，其他均不作调整。【如甲方有增加人员或病区（超出合同服务范围的），结算时可以按相同的报价结算，但增加金额不超过原合同金额的10%。】。</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6.3验收标准与要求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6.3.1采购人将根据招标文件约定的相关《考核标准》依法组织履约验收工作。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6.3.2采购人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6.3.3对于实际使用人和甲方分离的项目，甲方邀请实际使用人参与验收。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6.3.4如有必要，采购人邀请参加本项目的其他供应商或第三方专业机构及专家参与验收，相关意见将作为验收书的参考资料。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6.3.5采购人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6.3.6验收合格的项目，采购人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6.3.7考核标准：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日常考核：物管办每月至少两次派出专人对工作内容的完成情况进行督促检查，其余时间不定期抽查，检查人填写工作检查记录由物业公司被检查人签字认可并整理保存。根据平时检查结果，作为考核内容存档。物管办有权针对出现的问题对物业公司实施处罚，并下达书面整改通知，责成物管公司限期整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（2）季度、年度考核</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季度与年度考核重复时只做年度考核。考核由物管办牵头组织实施，相关部门参加考核评定，考核结果报分管领导批准后，由物管办负责对物业管理单位实施奖惩兑现。兑现可在支付物业服务费时进行清算。综合考核评定结果分优、良、不合格三等。</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（3）物业管理工作考核大纲</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物业管理工作考核制度总分100分，分为科室考核和院内测评，科室考核占60分，院内测评占40分。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大纲如下：</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注：科室考核标准详见</w:t>
      </w:r>
      <w:r>
        <w:rPr>
          <w:rFonts w:hint="eastAsia" w:ascii="宋体" w:hAnsi="宋体" w:cs="宋体"/>
          <w:b/>
          <w:bCs/>
          <w:color w:val="auto"/>
          <w:sz w:val="24"/>
          <w:szCs w:val="24"/>
          <w:highlight w:val="none"/>
          <w:lang w:val="en-US" w:eastAsia="zh-CN"/>
        </w:rPr>
        <w:t xml:space="preserve">本招标文件</w:t>
      </w:r>
      <w:r>
        <w:rPr>
          <w:rFonts w:hint="eastAsia" w:ascii="宋体" w:hAnsi="宋体" w:eastAsia="宋体" w:cs="宋体"/>
          <w:b/>
          <w:bCs/>
          <w:color w:val="auto"/>
          <w:sz w:val="24"/>
          <w:szCs w:val="24"/>
          <w:highlight w:val="none"/>
          <w:lang w:val="en-US" w:eastAsia="zh-CN"/>
        </w:rPr>
        <w:t xml:space="preserve">第三章合同文本附件。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考核等级分为优、良、差三等，每季度考核一次。</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7"/>
        <w:gridCol w:w="2217"/>
        <w:gridCol w:w="2047"/>
        <w:gridCol w:w="2186"/>
      </w:tblGrid>
      <w:tr>
        <w:trPr>
          <w:trHeight w:val="594"/>
        </w:trPr>
        <w:tc>
          <w:tcPr>
            <w:tcW w:w="207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考核等级</w:t>
            </w:r>
            <w:r/>
          </w:p>
        </w:tc>
        <w:tc>
          <w:tcPr>
            <w:tcW w:w="221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优</w:t>
            </w:r>
            <w:r/>
          </w:p>
        </w:tc>
        <w:tc>
          <w:tcPr>
            <w:tcW w:w="204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良</w:t>
            </w:r>
            <w:r/>
          </w:p>
        </w:tc>
        <w:tc>
          <w:tcPr>
            <w:tcW w:w="2186"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差</w:t>
            </w:r>
            <w:r/>
          </w:p>
        </w:tc>
      </w:tr>
      <w:tr>
        <w:trPr>
          <w:trHeight w:val="606"/>
        </w:trPr>
        <w:tc>
          <w:tcPr>
            <w:tcW w:w="207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分数范围</w:t>
            </w:r>
            <w:r/>
          </w:p>
        </w:tc>
        <w:tc>
          <w:tcPr>
            <w:tcW w:w="221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90～100分</w:t>
            </w:r>
            <w:r/>
          </w:p>
        </w:tc>
        <w:tc>
          <w:tcPr>
            <w:tcW w:w="2047"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60～90分</w:t>
            </w:r>
            <w:r/>
          </w:p>
        </w:tc>
        <w:tc>
          <w:tcPr>
            <w:tcW w:w="2186" w:type="dxa"/>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60分以下</w:t>
            </w:r>
            <w:r/>
          </w:p>
        </w:tc>
      </w:tr>
    </w:tbl>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考核结果与主管绩效挂钩，物业公司主管人员每月收入的20%由院方根据考核结果发放。考核为优，全额发放；考核为良，发放60%；考核不合格，全额扣除。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需要说明的其他事项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（1）投标人必须是有能力按照招标文件规定的要求独立完成物业服务工作的投标人，中标后不允许分包、转包，中标项目负责人在合同期内未经业主许可不得更换。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（2）本项目严禁以“挂靠”等形式投标、中标，一经发现取消投标、中标资格，并按相关规定进行处罚。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（3）物业服务合同签订合同后，业主提供物业管理办公用房，办公设施用品由物业管理企业自行提供。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（4）物业服务合同终止时，物业管理企业应当将物业管理用房和所有物管资料、档案完整地移交给业主。</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（5）物业服务合同终止时，新中标的物业管理企业与原物业管理企业之间应当做好交接工作。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（6）中标人须制订、抗台、安全等紧急预案，并切实地培训到每个岗位人员，并记录归档。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（7）服务人员工作期间必须遵守医院的工作时间， 不能影响医院正常办公秩序。在重大活动和突击性工作中，投标人须配合医院要求对服务人员统一指挥和调度。</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（8）投标人不得在管理区域内从事与管理、服务工作无关的其他活动。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（9）投标人和个人不得利用管理区域内业主的房产、物业、水电等资源从事经营活动。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（10）保洁、秩序维护、维修人员因工作失误造成医院损失，投标人必须负全部责任并承担相应经济赔偿或调整人员，造成严重社会影响的事件，医院有权及时终止合同。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（11）因物业管理服务不到位（包括卫生保洁不到位以及控烟工作（公共场所）等），采购人将依照工作制度扣减物业管理费用。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（12）投标人必须提供规范而完善的物业管理组织实施方案，物业管理服务标准及工作制度等。</w:t>
      </w:r>
      <w:r/>
    </w:p>
    <w:p>
      <w:pPr>
        <w:ind w:firstLine="480"/>
        <w:jc w:val="left"/>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（13）本招标文件中未尽事宜，按国家和地方最新《中华人民共和国物业管理条例》执行。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采购项目需落实的政府采购政策</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采购人应当落实政府采购政策，包括但不限于促进中小企业发展、促进残疾人就业、政府绿色采购政策等。</w:t>
      </w:r>
      <w:bookmarkEnd w:id="15"/>
      <w:r/>
      <w:bookmarkEnd w:id="16"/>
      <w:r/>
      <w:bookmarkEnd w:id="17"/>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en-US" w:eastAsia="zh-CN"/>
        </w:rPr>
        <w:t xml:space="preserve">供应商综合实力要求</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业绩</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具备丰富的物业服务经验，承担过相关物业服务业绩，确保本项目的顺利实施，投标人自2022年1月1日以来承担过与本项目服务内容相匹配的业绩，业绩服务范围包括保洁服务、陪检配送、医技工勤（导医等）、后勤技术工种（水电维修等)</w:t>
      </w:r>
      <w:r>
        <w:rPr>
          <w:rFonts w:hint="eastAsia" w:ascii="宋体" w:hAnsi="宋体" w:cs="宋体"/>
          <w:color w:val="auto"/>
          <w:sz w:val="24"/>
          <w:szCs w:val="24"/>
          <w:highlight w:val="none"/>
          <w:lang w:val="en-US" w:eastAsia="zh-CN"/>
        </w:rPr>
        <w:t xml:space="preserve">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（2）资质信誉</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具备良好的质量管理体系规范日常管理与服务，积极保障员工健康和安全，以保障本项目的顺利实施，具有国家认监委认可的机构颁发的有效期内的质量管理体系认证证书、环境管理体系认证证书、职业安全健康管理体系认证证书、公共环境灭菌消毒作业服务专业相关资质或认证证书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人员配备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为体现投标人的服务质量、物业管理等综合实力水平，投标人拟派项目经理</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专及以上学历以及投标人为其缴纳的2025年7月至2025年10月中任意一个月的社保证明的</w:t>
      </w:r>
      <w:r>
        <w:rPr>
          <w:rFonts w:hint="eastAsia" w:ascii="宋体" w:hAnsi="宋体" w:eastAsia="宋体" w:cs="宋体"/>
          <w:b/>
          <w:bCs/>
          <w:color w:val="auto"/>
          <w:sz w:val="24"/>
          <w:szCs w:val="24"/>
          <w:highlight w:val="none"/>
          <w:lang w:val="en-US" w:eastAsia="zh-CN"/>
        </w:rPr>
        <w:t xml:space="preserve">优先</w:t>
      </w:r>
      <w:r>
        <w:rPr>
          <w:rFonts w:hint="eastAsia" w:ascii="宋体" w:hAnsi="宋体" w:cs="宋体"/>
          <w:color w:val="auto"/>
          <w:sz w:val="24"/>
          <w:szCs w:val="24"/>
          <w:highlight w:val="none"/>
          <w:lang w:val="en-US" w:eastAsia="zh-CN"/>
        </w:rPr>
        <w:t xml:space="preserve">。</w:t>
      </w:r>
      <w:r/>
    </w:p>
    <w:p>
      <w:pPr>
        <w:numPr>
          <w:ilvl w:val="0"/>
          <w:numId w:val="0"/>
        </w:num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val="en-US" w:eastAsia="zh-CN"/>
        </w:rPr>
        <w:t xml:space="preserve">采购标的对应的中小企业划分标准所属行业一览表</w:t>
      </w:r>
      <w:r/>
    </w:p>
    <w:tbl>
      <w:tblPr>
        <w:tblStyle w:val="808"/>
        <w:tblW w:w="4871" w:type="pct"/>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8"/>
        <w:gridCol w:w="3960"/>
      </w:tblGrid>
      <w:tr>
        <w:trPr>
          <w:trHeight w:val="649"/>
        </w:trPr>
        <w:tc>
          <w:tcPr>
            <w:tcW w:w="4668" w:type="dxa"/>
            <w:vAlign w:val="center"/>
            <w:textDirection w:val="lrTb"/>
            <w:noWrap w:val="false"/>
          </w:tcPr>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采购标的</w:t>
            </w:r>
            <w:r/>
          </w:p>
        </w:tc>
        <w:tc>
          <w:tcPr>
            <w:tcW w:w="3960" w:type="dxa"/>
            <w:vAlign w:val="center"/>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highlight w:val="none"/>
              </w:rPr>
              <w:t xml:space="preserve">对应中小企业划分标准所属行业</w:t>
            </w:r>
            <w:r/>
          </w:p>
        </w:tc>
      </w:tr>
      <w:tr>
        <w:trPr>
          <w:trHeight w:val="960"/>
        </w:trPr>
        <w:tc>
          <w:tcPr>
            <w:tcW w:w="4668" w:type="dxa"/>
            <w:vAlign w:val="center"/>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盐城市第一人民医院五官科医院</w:t>
            </w:r>
            <w:r/>
          </w:p>
          <w:p>
            <w:pPr>
              <w:numPr>
                <w:ilvl w:val="0"/>
                <w:numId w:val="0"/>
              </w:numPr>
              <w:jc w:val="center"/>
              <w:keepLines w:val="0"/>
              <w:keepNext w:val="0"/>
              <w:pageBreakBefore w:val="0"/>
              <w:spacing w:line="520" w:lineRule="exact"/>
              <w:widowControl w:val="off"/>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物业服务项目</w:t>
            </w:r>
            <w:r/>
          </w:p>
        </w:tc>
        <w:tc>
          <w:tcPr>
            <w:tcW w:w="3960" w:type="dxa"/>
            <w:vAlign w:val="center"/>
            <w:textDirection w:val="lrTb"/>
            <w:noWrap w:val="false"/>
          </w:tcPr>
          <w:p>
            <w:pPr>
              <w:numPr>
                <w:ilvl w:val="0"/>
                <w:numId w:val="0"/>
              </w:numPr>
              <w:jc w:val="center"/>
              <w:keepLines w:val="0"/>
              <w:keepNext w:val="0"/>
              <w:pageBreakBefore w:val="0"/>
              <w:spacing w:line="52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highlight w:val="none"/>
              </w:rPr>
              <w:t xml:space="preserve">物业管理</w:t>
            </w:r>
            <w:r/>
          </w:p>
        </w:tc>
      </w:tr>
    </w:tbl>
    <w:p>
      <w:pPr>
        <w:rPr>
          <w:rFonts w:hint="eastAsia" w:ascii="宋体" w:hAnsi="宋体" w:cs="宋体"/>
          <w:color w:val="auto"/>
          <w:sz w:val="22"/>
          <w:szCs w:val="22"/>
          <w:highlight w:val="none"/>
          <w:u w:val="none"/>
          <w:lang w:val="en-US" w:eastAsia="zh-CN"/>
        </w:rPr>
      </w:pPr>
      <w:r>
        <w:rPr>
          <w:rFonts w:hint="eastAsia" w:ascii="宋体" w:hAnsi="宋体" w:cs="宋体"/>
          <w:color w:val="auto"/>
          <w:sz w:val="22"/>
          <w:szCs w:val="22"/>
          <w:highlight w:val="none"/>
          <w:u w:val="none"/>
          <w:lang w:val="en-US" w:eastAsia="zh-CN"/>
        </w:rPr>
        <w:br w:type="page" w:clear="all"/>
      </w:r>
      <w:r/>
    </w:p>
    <w:p>
      <w:pPr>
        <w:pStyle w:val="997"/>
        <w:jc w:val="center"/>
        <w:spacing w:beforeAutospacing="0" w:afterAutospacing="0"/>
        <w:rPr>
          <w:rFonts w:hint="eastAsia" w:ascii="黑体" w:hAnsi="黑体" w:eastAsia="黑体" w:cs="黑体"/>
          <w:b w:val="0"/>
          <w:bCs w:val="0"/>
          <w:color w:val="auto"/>
          <w:highlight w:val="none"/>
        </w:rPr>
        <w:outlineLvl w:val="0"/>
      </w:pPr>
      <w:r/>
      <w:bookmarkStart w:id="18" w:name="_Toc28340"/>
      <w:r>
        <w:rPr>
          <w:rFonts w:hint="eastAsia" w:ascii="黑体" w:hAnsi="黑体" w:eastAsia="黑体" w:cs="黑体"/>
          <w:b w:val="0"/>
          <w:bCs w:val="0"/>
          <w:color w:val="auto"/>
          <w:sz w:val="44"/>
          <w:szCs w:val="44"/>
          <w:highlight w:val="none"/>
        </w:rPr>
        <w:t xml:space="preserve">第五章 评标方法与评标标准</w:t>
      </w:r>
      <w:bookmarkEnd w:id="18"/>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一、定标原则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本项目采用</w:t>
      </w:r>
      <w:r>
        <w:rPr>
          <w:rFonts w:hint="eastAsia" w:ascii="宋体" w:hAnsi="宋体" w:eastAsia="宋体" w:cs="宋体"/>
          <w:color w:val="auto"/>
          <w:sz w:val="24"/>
          <w:szCs w:val="24"/>
          <w:highlight w:val="none"/>
          <w:u w:val="single"/>
          <w:lang w:val="zh-CN" w:eastAsia="zh-CN"/>
        </w:rPr>
        <w:t xml:space="preserve">综合评分</w:t>
      </w:r>
      <w:r>
        <w:rPr>
          <w:rFonts w:hint="eastAsia" w:ascii="宋体" w:hAnsi="宋体" w:eastAsia="宋体" w:cs="宋体"/>
          <w:color w:val="auto"/>
          <w:sz w:val="24"/>
          <w:szCs w:val="24"/>
          <w:highlight w:val="none"/>
          <w:lang w:val="zh-CN" w:eastAsia="zh-CN"/>
        </w:rPr>
        <w:t xml:space="preserve">法。</w:t>
      </w:r>
      <w:r>
        <w:rPr>
          <w:rFonts w:hint="eastAsia" w:ascii="宋体" w:hAnsi="宋体" w:eastAsia="宋体" w:cs="宋体"/>
          <w:color w:val="auto"/>
          <w:sz w:val="24"/>
          <w:szCs w:val="24"/>
          <w:highlight w:val="none"/>
          <w:lang w:val="en-US"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政府采购政策功能落实</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1、小微型企业价格扣除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（1）本项目专门面向中小企业采购，不再对小型和微型企业报价给予价格扣除。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（2）供应商需按照采购文件的要求提供相应的《中小企业声明函》。</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（3）企业标准请参照《关于印发中小企业划型标准规定的通知》（工信部联企业〔2011〕300号）文件规定自行填写。</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2、残疾人福利单位价格扣除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（1）本项目对残疾人福利性单位视同小型、微型企业。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3、监狱和戒毒企业价格扣除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4、残疾人福利单位、监狱企业属于小型、微型企业的，不重复享受政策。</w:t>
      </w:r>
      <w:r/>
    </w:p>
    <w:p>
      <w:pPr>
        <w:ind w:firstLine="480"/>
        <w:jc w:val="left"/>
        <w:keepLines w:val="0"/>
        <w:keepNext w:val="0"/>
        <w:pageBreakBefore w:val="0"/>
        <w:spacing w:line="520" w:lineRule="exact"/>
        <w:widowControl w:val="off"/>
        <w:rPr>
          <w:rFonts w:hint="eastAsia" w:ascii="宋体" w:hAnsi="宋体" w:eastAsia="宋体" w:cs="宋体"/>
          <w:color w:val="000000" w:themeColor="text1"/>
          <w:sz w:val="24"/>
          <w:szCs w:val="20"/>
          <w:highlight w:val="whit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highlight w:val="none"/>
          <w:lang w:val="en-US" w:eastAsia="zh-CN"/>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szCs w:val="20"/>
          <w:highlight w:val="white"/>
          <w14:textFill>
            <w14:solidFill>
              <w14:schemeClr w14:val="tx1"/>
            </w14:solidFill>
          </w14:textFill>
        </w:rPr>
        <w:t xml:space="preserve">。</w:t>
      </w:r>
      <w:r>
        <w:rPr>
          <w:rFonts w:hint="eastAsia" w:ascii="宋体" w:hAnsi="宋体" w:eastAsia="宋体" w:cs="宋体"/>
          <w:color w:val="auto"/>
          <w:sz w:val="24"/>
          <w:szCs w:val="24"/>
          <w:highlight w:val="none"/>
          <w:lang w:val="en-US" w:eastAsia="zh-CN"/>
        </w:rPr>
        <w:t xml:space="preserve">其他条件相同情况下，应当优先采购节能产品、环境标志产品。</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二、评标方法与评标标准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本项目评分总分值为100分。</w:t>
      </w:r>
      <w:r/>
    </w:p>
    <w:tbl>
      <w:tblPr>
        <w:tblStyle w:val="782"/>
        <w:tblW w:w="868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672"/>
        <w:gridCol w:w="6517"/>
        <w:gridCol w:w="749"/>
      </w:tblGrid>
      <w:tr>
        <w:trPr>
          <w:trHeight w:val="733"/>
        </w:trPr>
        <w:tc>
          <w:tcPr>
            <w:gridSpan w:val="2"/>
            <w:tcW w:w="1420"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评审项目</w:t>
            </w:r>
            <w:r/>
          </w:p>
        </w:tc>
        <w:tc>
          <w:tcPr>
            <w:tcW w:w="6517"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评审标准</w:t>
            </w:r>
            <w:r/>
          </w:p>
        </w:tc>
        <w:tc>
          <w:tcPr>
            <w:tcW w:w="749"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分值</w:t>
            </w:r>
            <w:r/>
          </w:p>
        </w:tc>
      </w:tr>
      <w:tr>
        <w:trPr>
          <w:trHeight w:val="2531"/>
        </w:trPr>
        <w:tc>
          <w:tcPr>
            <w:gridSpan w:val="2"/>
            <w:tcW w:w="1420"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投标报价</w:t>
            </w:r>
            <w:r/>
          </w:p>
        </w:tc>
        <w:tc>
          <w:tcPr>
            <w:tcW w:w="6517" w:type="dxa"/>
            <w:vAlign w:val="center"/>
            <w:textDirection w:val="lrTb"/>
            <w:noWrap/>
          </w:tcPr>
          <w:p>
            <w:pPr>
              <w:ind w:firstLine="480"/>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1.采用低价优先法，即满足招标文件要求且投标价格最低的有效投标报价为评标基准价，其价格分为满分。</w:t>
            </w:r>
            <w:r/>
          </w:p>
          <w:p>
            <w:pPr>
              <w:ind w:firstLine="480"/>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2.其他投标人的价格分统一按下列公式计算：投标报价得分为（评标基准价/投标报价）×50（小数点保留两位）。</w:t>
            </w:r>
            <w:r/>
          </w:p>
        </w:tc>
        <w:tc>
          <w:tcPr>
            <w:tcW w:w="749"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50分</w:t>
            </w:r>
            <w:r/>
          </w:p>
        </w:tc>
      </w:tr>
      <w:tr>
        <w:trPr>
          <w:trHeight w:val="4474"/>
        </w:trPr>
        <w:tc>
          <w:tcPr>
            <w:gridSpan w:val="2"/>
            <w:tcW w:w="1420"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业绩</w:t>
            </w:r>
            <w:r/>
          </w:p>
        </w:tc>
        <w:tc>
          <w:tcPr>
            <w:tcW w:w="6517" w:type="dxa"/>
            <w:vAlign w:val="center"/>
            <w:textDirection w:val="lrTb"/>
            <w:noWrap/>
          </w:tcPr>
          <w:p>
            <w:pPr>
              <w:ind w:firstLine="480"/>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自2022年1月1日以来（以合同签订日期为准），投标人承担过</w:t>
            </w:r>
            <w:r>
              <w:rPr>
                <w:rFonts w:hint="eastAsia" w:ascii="宋体" w:hAnsi="宋体" w:eastAsia="宋体" w:cs="宋体"/>
                <w:color w:val="auto"/>
                <w:sz w:val="24"/>
                <w:highlight w:val="none"/>
                <w:lang w:val="en-US" w:eastAsia="zh-CN"/>
              </w:rPr>
              <w:t xml:space="preserve">类似</w:t>
            </w:r>
            <w:r>
              <w:rPr>
                <w:rFonts w:hint="eastAsia" w:ascii="宋体" w:hAnsi="宋体" w:eastAsia="宋体" w:cs="宋体"/>
                <w:color w:val="auto"/>
                <w:sz w:val="24"/>
                <w:highlight w:val="none"/>
              </w:rPr>
              <w:t xml:space="preserve">物业服务业绩</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且</w:t>
            </w:r>
            <w:r>
              <w:rPr>
                <w:rFonts w:hint="eastAsia" w:ascii="宋体" w:hAnsi="宋体" w:eastAsia="宋体" w:cs="宋体"/>
                <w:color w:val="auto"/>
                <w:sz w:val="24"/>
                <w:highlight w:val="none"/>
              </w:rPr>
              <w:t xml:space="preserve">与本项目服务内容相匹配的业绩，业绩服务范围须至少包括：保洁服务、陪检配送</w:t>
            </w:r>
            <w:r>
              <w:rPr>
                <w:rFonts w:hint="eastAsia" w:ascii="宋体" w:hAnsi="宋体" w:eastAsia="宋体" w:cs="宋体"/>
                <w:color w:val="auto"/>
                <w:sz w:val="24"/>
                <w:highlight w:val="none"/>
                <w:lang w:val="en-US" w:eastAsia="zh-CN"/>
              </w:rPr>
              <w:t xml:space="preserve">(含运送）</w:t>
            </w:r>
            <w:r>
              <w:rPr>
                <w:rFonts w:hint="eastAsia" w:ascii="宋体" w:hAnsi="宋体" w:eastAsia="宋体" w:cs="宋体"/>
                <w:color w:val="auto"/>
                <w:sz w:val="24"/>
                <w:highlight w:val="none"/>
              </w:rPr>
              <w:t xml:space="preserve">、后勤技术工种（水电维修</w:t>
            </w:r>
            <w:r>
              <w:rPr>
                <w:rFonts w:hint="eastAsia" w:ascii="宋体" w:hAnsi="宋体" w:eastAsia="宋体" w:cs="宋体"/>
                <w:color w:val="auto"/>
                <w:sz w:val="24"/>
                <w:highlight w:val="none"/>
                <w:lang w:eastAsia="zh-CN"/>
              </w:rPr>
              <w:t xml:space="preserve">或机电维修</w:t>
            </w:r>
            <w:r>
              <w:rPr>
                <w:rFonts w:hint="eastAsia" w:ascii="宋体" w:hAnsi="宋体" w:eastAsia="宋体" w:cs="宋体"/>
                <w:color w:val="auto"/>
                <w:sz w:val="24"/>
                <w:highlight w:val="none"/>
              </w:rPr>
              <w:t xml:space="preserve">等）。每提供一个业绩得2分，最高得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备注：以投标人提供的有效的合同原件扫描件，合同中必须包含服务内容、合同签订时间等信息计分，如合同内无法体现服务内容的，可提供业主单位出具的证明并加盖公章</w:t>
            </w:r>
            <w:r>
              <w:rPr>
                <w:rFonts w:hint="eastAsia" w:ascii="宋体" w:hAnsi="宋体" w:eastAsia="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，否则不计分。</w:t>
            </w:r>
            <w:r/>
          </w:p>
        </w:tc>
        <w:tc>
          <w:tcPr>
            <w:tcW w:w="749"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r>
      <w:tr>
        <w:trPr>
          <w:trHeight w:val="7052"/>
        </w:trPr>
        <w:tc>
          <w:tcPr>
            <w:gridSpan w:val="2"/>
            <w:tcW w:w="1420"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资质信誉</w:t>
            </w:r>
            <w:r/>
          </w:p>
        </w:tc>
        <w:tc>
          <w:tcPr>
            <w:tcW w:w="6517" w:type="dxa"/>
            <w:vAlign w:val="center"/>
            <w:textDirection w:val="lrTb"/>
            <w:noWrap/>
          </w:tcPr>
          <w:p>
            <w:pPr>
              <w:ind w:firstLine="480"/>
              <w:jc w:val="both"/>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取得国家认监委认可的机构颁发的有效期内</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质量管理体系认证证书得1分；</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取得国家认监委认可的机构颁发的有效期内</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环境管理体系认证证书得1分；</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w:t>
            </w:r>
            <w:r>
              <w:rPr>
                <w:rFonts w:hint="eastAsia" w:ascii="宋体" w:hAnsi="宋体" w:eastAsia="宋体" w:cs="宋体"/>
                <w:color w:val="auto"/>
                <w:sz w:val="24"/>
                <w:highlight w:val="none"/>
                <w:lang w:val="en-US" w:eastAsia="zh-CN"/>
              </w:rPr>
              <w:t xml:space="preserve">有效期内的</w:t>
            </w:r>
            <w:r>
              <w:rPr>
                <w:rFonts w:hint="eastAsia" w:ascii="宋体" w:hAnsi="宋体" w:eastAsia="宋体" w:cs="宋体"/>
                <w:color w:val="auto"/>
                <w:sz w:val="24"/>
                <w:highlight w:val="none"/>
              </w:rPr>
              <w:t xml:space="preserve">职业健康安全管理体系认证证书得1分；</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取得国家认监委认可的机构颁发的有效期内</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公共环境灭菌消毒作业服务专业相关资质或认证证书的得1分</w:t>
            </w:r>
            <w:r>
              <w:rPr>
                <w:rFonts w:hint="eastAsia" w:ascii="宋体" w:hAnsi="宋体" w:eastAsia="宋体" w:cs="宋体"/>
                <w:color w:val="auto"/>
                <w:sz w:val="24"/>
                <w:highlight w:val="none"/>
                <w:lang w:eastAsia="zh-CN"/>
              </w:rPr>
              <w:t xml:space="preserve">；</w:t>
            </w:r>
            <w:r/>
          </w:p>
          <w:p>
            <w:p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投标时需提供证书扫描件。</w:t>
            </w:r>
            <w:r>
              <w:rPr>
                <w:rFonts w:hint="eastAsia" w:ascii="宋体" w:hAnsi="宋体" w:eastAsia="宋体" w:cs="宋体"/>
                <w:color w:val="auto"/>
                <w:sz w:val="24"/>
                <w:highlight w:val="none"/>
              </w:rPr>
              <w:t xml:space="preserve">认证证书可通过“国家认证认可监督管理委员会”网站查询，投标人提供网站查询结果</w:t>
            </w:r>
            <w:r>
              <w:rPr>
                <w:rFonts w:hint="eastAsia" w:ascii="宋体" w:hAnsi="宋体" w:eastAsia="宋体" w:cs="宋体"/>
                <w:color w:val="auto"/>
                <w:sz w:val="24"/>
                <w:highlight w:val="none"/>
                <w:lang w:val="en-US" w:eastAsia="zh-CN"/>
              </w:rPr>
              <w:t xml:space="preserve">截图</w:t>
            </w:r>
            <w:r>
              <w:rPr>
                <w:rFonts w:hint="eastAsia" w:ascii="宋体" w:hAnsi="宋体" w:eastAsia="宋体" w:cs="宋体"/>
                <w:color w:val="auto"/>
                <w:sz w:val="24"/>
                <w:highlight w:val="none"/>
              </w:rPr>
              <w:t xml:space="preserve">并加盖公章，投标人应当确保证书开标当天处于有效期内，否则不予认可。】</w:t>
            </w:r>
            <w:r/>
          </w:p>
        </w:tc>
        <w:tc>
          <w:tcPr>
            <w:tcW w:w="749"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trHeight w:val="2653"/>
        </w:trPr>
        <w:tc>
          <w:tcPr>
            <w:gridSpan w:val="2"/>
            <w:tcW w:w="1420"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0000ff"/>
                <w:sz w:val="24"/>
                <w:szCs w:val="24"/>
                <w:highlight w:val="none"/>
                <w:lang w:val="en-US" w:eastAsia="zh-CN"/>
              </w:rPr>
              <w:outlineLvl w:val="9"/>
            </w:pPr>
            <w:r>
              <w:rPr>
                <w:rFonts w:hint="eastAsia" w:ascii="宋体" w:hAnsi="宋体" w:eastAsia="宋体" w:cs="宋体"/>
                <w:color w:val="auto"/>
                <w:sz w:val="24"/>
                <w:szCs w:val="24"/>
                <w:highlight w:val="none"/>
              </w:rPr>
              <w:t xml:space="preserve">人员配备</w:t>
            </w:r>
            <w:r/>
          </w:p>
        </w:tc>
        <w:tc>
          <w:tcPr>
            <w:tcW w:w="6517" w:type="dxa"/>
            <w:vAlign w:val="center"/>
            <w:textDirection w:val="lrTb"/>
            <w:noWrap/>
          </w:tcPr>
          <w:p>
            <w:pPr>
              <w:ind w:firstLine="480"/>
              <w:jc w:val="left"/>
              <w:keepLines w:val="0"/>
              <w:keepNext w:val="0"/>
              <w:pageBreakBefore w:val="0"/>
              <w:spacing w:line="5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拟派项目经理（限1人）具有本科及以上学历得2</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rPr>
              <w:t xml:space="preserve">；具有大专学历得1分，具有中专学历得0.5分</w:t>
            </w:r>
            <w:r>
              <w:rPr>
                <w:rFonts w:hint="eastAsia" w:ascii="宋体" w:hAnsi="宋体" w:cs="宋体"/>
                <w:color w:val="auto"/>
                <w:sz w:val="24"/>
                <w:highlight w:val="none"/>
                <w:lang w:eastAsia="zh-CN"/>
              </w:rPr>
              <w:t xml:space="preserve">。</w:t>
            </w:r>
            <w:r/>
          </w:p>
          <w:p>
            <w:pPr>
              <w:ind w:firstLine="480"/>
              <w:jc w:val="left"/>
              <w:keepLines w:val="0"/>
              <w:keepNext w:val="0"/>
              <w:pageBreakBefore w:val="0"/>
              <w:spacing w:line="560" w:lineRule="exact"/>
              <w:widowControl w:val="off"/>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上述人员</w:t>
            </w:r>
            <w:r>
              <w:rPr>
                <w:rFonts w:hint="eastAsia" w:ascii="宋体" w:hAnsi="宋体" w:eastAsia="宋体" w:cs="宋体"/>
                <w:color w:val="auto"/>
                <w:sz w:val="24"/>
                <w:highlight w:val="none"/>
              </w:rPr>
              <w:t xml:space="preserve">须为投标人在职员工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投标时</w:t>
            </w:r>
            <w:r>
              <w:rPr>
                <w:rFonts w:hint="eastAsia" w:ascii="宋体" w:hAnsi="宋体" w:eastAsia="宋体" w:cs="宋体"/>
                <w:color w:val="auto"/>
                <w:sz w:val="24"/>
                <w:highlight w:val="none"/>
              </w:rPr>
              <w:t xml:space="preserve">须提供投标人为其缴纳的</w:t>
            </w:r>
            <w:r>
              <w:rPr>
                <w:rFonts w:hint="eastAsia" w:ascii="宋体" w:hAnsi="宋体" w:eastAsia="宋体" w:cs="宋体"/>
                <w:color w:val="auto"/>
                <w:sz w:val="24"/>
                <w:highlight w:val="none"/>
                <w:lang w:val="en-US" w:eastAsia="zh-CN"/>
              </w:rPr>
              <w:t xml:space="preserve">2025年7月至2025年10月</w:t>
            </w:r>
            <w:r>
              <w:rPr>
                <w:rFonts w:hint="eastAsia" w:ascii="宋体" w:hAnsi="宋体" w:eastAsia="宋体" w:cs="宋体"/>
                <w:color w:val="auto"/>
                <w:sz w:val="24"/>
                <w:highlight w:val="none"/>
              </w:rPr>
              <w:t xml:space="preserve">中任意一个月</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社保证明材料</w:t>
            </w:r>
            <w:r>
              <w:rPr>
                <w:rFonts w:hint="eastAsia" w:ascii="宋体" w:hAnsi="宋体" w:eastAsia="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w:t>
            </w:r>
            <w:r/>
          </w:p>
        </w:tc>
        <w:tc>
          <w:tcPr>
            <w:tcW w:w="749"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highlight w:val="none"/>
              </w:rPr>
              <w:t xml:space="preserve">分</w:t>
            </w:r>
            <w:r/>
          </w:p>
        </w:tc>
      </w:tr>
      <w:tr>
        <w:trPr>
          <w:trHeight w:val="512"/>
        </w:trPr>
        <w:tc>
          <w:tcPr>
            <w:tcW w:w="748" w:type="dxa"/>
            <w:vAlign w:val="center"/>
            <w:vMerge w:val="restart"/>
            <w:textDirection w:val="lrTb"/>
            <w:noWrap/>
          </w:tcPr>
          <w:p>
            <w:pPr>
              <w:jc w:val="center"/>
              <w:keepLines w:val="0"/>
              <w:keepNext w:val="0"/>
              <w:pageBreakBefore w:val="0"/>
              <w:spacing w:line="560" w:lineRule="exact"/>
              <w:widowControl w:val="off"/>
              <w:rPr>
                <w:rFonts w:hint="eastAsia" w:ascii="宋体" w:hAnsi="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r>
            <w:r/>
          </w:p>
          <w:p>
            <w:pPr>
              <w:jc w:val="center"/>
              <w:keepLines w:val="0"/>
              <w:keepNext w:val="0"/>
              <w:pageBreakBefore w:val="0"/>
              <w:spacing w:line="560" w:lineRule="exact"/>
              <w:widowControl w:val="off"/>
              <w:rPr>
                <w:rFonts w:hint="default"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服务方案</w:t>
            </w:r>
            <w:r/>
          </w:p>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672"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整体</w:t>
            </w:r>
            <w:r/>
          </w:p>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方案</w:t>
            </w:r>
            <w:r/>
          </w:p>
        </w:tc>
        <w:tc>
          <w:tcPr>
            <w:tcW w:w="6517" w:type="dxa"/>
            <w:vAlign w:val="center"/>
            <w:textDirection w:val="lrTb"/>
            <w:noWrap/>
          </w:tcPr>
          <w:p>
            <w:pPr>
              <w:ind w:firstLine="480"/>
              <w:jc w:val="left"/>
              <w:keepLines w:val="0"/>
              <w:keepNext w:val="0"/>
              <w:pageBreakBefore w:val="0"/>
              <w:spacing w:line="56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供应商根据本项目第四章“</w:t>
            </w:r>
            <w:r>
              <w:rPr>
                <w:rFonts w:hint="eastAsia" w:ascii="宋体" w:hAnsi="宋体" w:eastAsia="宋体" w:cs="宋体"/>
                <w:color w:val="auto"/>
                <w:sz w:val="24"/>
                <w:highlight w:val="none"/>
                <w:lang w:val="en-US"/>
              </w:rPr>
              <w:t xml:space="preserve">3</w:t>
            </w:r>
            <w:r>
              <w:rPr>
                <w:rFonts w:hint="eastAsia" w:ascii="宋体" w:hAnsi="宋体" w:eastAsia="宋体" w:cs="宋体"/>
                <w:color w:val="auto"/>
                <w:sz w:val="24"/>
                <w:highlight w:val="none"/>
                <w:lang w:val="zh-CN"/>
              </w:rPr>
              <w:t xml:space="preserve">.1物业管理整体方案要求”，投标人根据招标文件中的</w:t>
            </w:r>
            <w:r>
              <w:rPr>
                <w:rFonts w:hint="eastAsia" w:ascii="宋体" w:hAnsi="宋体" w:eastAsia="宋体" w:cs="宋体"/>
                <w:color w:val="auto"/>
                <w:sz w:val="24"/>
                <w:highlight w:val="none"/>
              </w:rPr>
              <w:t xml:space="preserve">项目需求编制整体</w:t>
            </w:r>
            <w:r>
              <w:rPr>
                <w:rFonts w:hint="eastAsia" w:ascii="宋体" w:hAnsi="宋体" w:eastAsia="宋体" w:cs="宋体"/>
                <w:color w:val="auto"/>
                <w:sz w:val="24"/>
                <w:highlight w:val="none"/>
                <w:lang w:val="zh-CN"/>
              </w:rPr>
              <w:t xml:space="preserve">方案，主要包含：管理服务的范围、目标、整体规划及设想，服务的重点及难点</w:t>
            </w:r>
            <w:r>
              <w:rPr>
                <w:rFonts w:hint="eastAsia" w:ascii="宋体" w:hAnsi="宋体" w:eastAsia="宋体" w:cs="宋体"/>
                <w:color w:val="auto"/>
                <w:sz w:val="24"/>
                <w:highlight w:val="none"/>
                <w:lang w:val="en-US" w:eastAsia="zh-CN"/>
              </w:rPr>
              <w:t xml:space="preserve">等</w:t>
            </w:r>
            <w:r>
              <w:rPr>
                <w:rFonts w:hint="eastAsia" w:ascii="宋体" w:hAnsi="宋体" w:eastAsia="宋体" w:cs="宋体"/>
                <w:color w:val="auto"/>
                <w:sz w:val="24"/>
                <w:highlight w:val="none"/>
                <w:lang w:val="zh-CN"/>
              </w:rPr>
              <w:t xml:space="preserve">。评委根据投标人提供的</w:t>
            </w:r>
            <w:r>
              <w:rPr>
                <w:rFonts w:hint="eastAsia" w:ascii="宋体" w:hAnsi="宋体" w:eastAsia="宋体" w:cs="宋体"/>
                <w:color w:val="auto"/>
                <w:sz w:val="24"/>
                <w:highlight w:val="none"/>
              </w:rPr>
              <w:t xml:space="preserve">整体</w:t>
            </w:r>
            <w:r>
              <w:rPr>
                <w:rFonts w:hint="eastAsia" w:ascii="宋体" w:hAnsi="宋体" w:eastAsia="宋体" w:cs="宋体"/>
                <w:color w:val="auto"/>
                <w:sz w:val="24"/>
                <w:highlight w:val="none"/>
                <w:lang w:val="zh-CN"/>
              </w:rPr>
              <w:t xml:space="preserve">方案进行评审。优于项目需求得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分，满足项目需求得</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分，不满足或不提供得0分。</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投标人编制的</w:t>
            </w:r>
            <w:r>
              <w:rPr>
                <w:rFonts w:hint="eastAsia" w:ascii="宋体" w:hAnsi="宋体" w:eastAsia="宋体" w:cs="宋体"/>
                <w:color w:val="auto"/>
                <w:sz w:val="24"/>
                <w:highlight w:val="none"/>
                <w:lang w:val="zh-CN"/>
              </w:rPr>
              <w:t xml:space="preserve">整体方案完全覆盖招标文件列明的所有服务内容，</w:t>
            </w:r>
            <w:r>
              <w:rPr>
                <w:rFonts w:hint="eastAsia" w:ascii="宋体" w:hAnsi="宋体" w:eastAsia="宋体" w:cs="宋体"/>
                <w:color w:val="auto"/>
                <w:sz w:val="24"/>
                <w:highlight w:val="none"/>
                <w:lang w:val="en-US" w:eastAsia="zh-CN"/>
              </w:rPr>
              <w:t xml:space="preserve">目标内容与招标文件需求完全匹配，准确识别招标文件中明确的核心重点，同时还包含了除招标文件项目需求以外且和本项目有关的内容，可视为优于；</w:t>
            </w:r>
            <w:r>
              <w:rPr>
                <w:rFonts w:hint="eastAsia" w:ascii="宋体" w:hAnsi="宋体" w:eastAsia="宋体" w:cs="宋体"/>
                <w:color w:val="auto"/>
                <w:sz w:val="24"/>
                <w:highlight w:val="none"/>
                <w:lang w:val="zh-CN"/>
              </w:rPr>
              <w:t xml:space="preserve">整体方案</w:t>
            </w:r>
            <w:r>
              <w:rPr>
                <w:rFonts w:hint="eastAsia" w:ascii="宋体" w:hAnsi="宋体" w:eastAsia="宋体" w:cs="宋体"/>
                <w:color w:val="auto"/>
                <w:sz w:val="24"/>
                <w:highlight w:val="none"/>
                <w:lang w:val="en-US" w:eastAsia="zh-CN"/>
              </w:rPr>
              <w:t xml:space="preserve">能响应需求的，视为满足项目需求；整体方案内容简单，不能完全响应项目需求或有负偏离的，可视为不符合。具体由评标委员会根据投标人的方案进行评审。</w:t>
            </w:r>
            <w:r/>
          </w:p>
        </w:tc>
        <w:tc>
          <w:tcPr>
            <w:tcW w:w="749" w:type="dxa"/>
            <w:vAlign w:val="center"/>
            <w:textDirection w:val="lrTb"/>
            <w:noWrap/>
          </w:tcPr>
          <w:p>
            <w:pPr>
              <w:jc w:val="center"/>
              <w:keepLines w:val="0"/>
              <w:keepNext w:val="0"/>
              <w:pageBreakBefore w:val="0"/>
              <w:spacing w:line="560" w:lineRule="exact"/>
              <w:widowControl w:val="off"/>
              <w:rPr>
                <w:rFonts w:hint="default"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8分</w:t>
            </w:r>
            <w:r/>
          </w:p>
        </w:tc>
      </w:tr>
      <w:tr>
        <w:trPr>
          <w:trHeight w:val="566"/>
        </w:trPr>
        <w:tc>
          <w:tcPr>
            <w:tcW w:w="748" w:type="dxa"/>
            <w:vAlign w:val="center"/>
            <w:vMerge w:val="continue"/>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672"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专项实施</w:t>
            </w:r>
            <w:r/>
          </w:p>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方案</w:t>
            </w:r>
            <w:r/>
          </w:p>
        </w:tc>
        <w:tc>
          <w:tcPr>
            <w:tcW w:w="6517" w:type="dxa"/>
            <w:vAlign w:val="center"/>
            <w:textDirection w:val="lrTb"/>
            <w:noWrap/>
          </w:tcPr>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供应商根据本项目第四章“</w:t>
            </w:r>
            <w:r>
              <w:rPr>
                <w:rFonts w:hint="eastAsia" w:ascii="宋体" w:hAnsi="宋体" w:eastAsia="宋体" w:cs="宋体"/>
                <w:color w:val="auto"/>
                <w:sz w:val="24"/>
                <w:highlight w:val="none"/>
                <w:lang w:val="en-US"/>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专项实施</w:t>
            </w:r>
            <w:r>
              <w:rPr>
                <w:rFonts w:hint="eastAsia" w:ascii="宋体" w:hAnsi="宋体" w:eastAsia="宋体" w:cs="宋体"/>
                <w:color w:val="auto"/>
                <w:sz w:val="24"/>
                <w:highlight w:val="none"/>
                <w:lang w:val="zh-CN"/>
              </w:rPr>
              <w:t xml:space="preserve">方案要求”</w:t>
            </w:r>
            <w:r>
              <w:rPr>
                <w:rFonts w:hint="eastAsia" w:ascii="宋体" w:hAnsi="宋体" w:eastAsia="宋体" w:cs="宋体"/>
                <w:color w:val="auto"/>
                <w:sz w:val="24"/>
                <w:highlight w:val="none"/>
              </w:rPr>
              <w:t xml:space="preserve">，投标人对各项要求作出具体承诺及所采用的流程、标准、具体实施计划和专项实施方案，专项内容包含重点科室手术室、</w:t>
            </w:r>
            <w:r>
              <w:rPr>
                <w:rFonts w:hint="eastAsia" w:ascii="宋体" w:hAnsi="宋体" w:eastAsia="宋体" w:cs="宋体"/>
                <w:color w:val="auto"/>
                <w:sz w:val="24"/>
                <w:highlight w:val="none"/>
                <w:lang w:eastAsia="zh-CN"/>
              </w:rPr>
              <w:t xml:space="preserve">医疗垃圾收集</w:t>
            </w:r>
            <w:r>
              <w:rPr>
                <w:rFonts w:hint="eastAsia" w:ascii="宋体" w:hAnsi="宋体" w:eastAsia="宋体" w:cs="宋体"/>
                <w:color w:val="auto"/>
                <w:sz w:val="24"/>
                <w:highlight w:val="none"/>
              </w:rPr>
              <w:t xml:space="preserve">、院感防控等。</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方案优于项目需求得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分，方案满足项目需求得</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分，不满足或不提供得0分。</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编制的专项实施方案内容详细，完全覆盖招标文件的需求服务内容，有针对性，切实可行，同时还包含了除招标文件项目需求以外且和本项目有关的内容，可视为优于；方案能响应需求的，视为满足项目需求；方案内容简单，不能完全响应项目需求或有负偏离的，可视为不符合。具体由评标委员会根据投标人的方案进行评审。</w:t>
            </w:r>
            <w:r/>
          </w:p>
        </w:tc>
        <w:tc>
          <w:tcPr>
            <w:tcW w:w="749" w:type="dxa"/>
            <w:vAlign w:val="center"/>
            <w:textDirection w:val="lrTb"/>
            <w:noWrap/>
          </w:tcPr>
          <w:p>
            <w:pPr>
              <w:jc w:val="center"/>
              <w:keepLines w:val="0"/>
              <w:keepNext w:val="0"/>
              <w:pageBreakBefore w:val="0"/>
              <w:spacing w:line="560" w:lineRule="exact"/>
              <w:widowControl w:val="off"/>
              <w:rPr>
                <w:rFonts w:hint="default"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8分</w:t>
            </w:r>
            <w:r/>
          </w:p>
        </w:tc>
      </w:tr>
      <w:tr>
        <w:trPr>
          <w:trHeight w:val="566"/>
        </w:trPr>
        <w:tc>
          <w:tcPr>
            <w:tcW w:w="748" w:type="dxa"/>
            <w:vAlign w:val="center"/>
            <w:vMerge w:val="continue"/>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672"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交接过渡</w:t>
            </w:r>
            <w:r/>
          </w:p>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方案</w:t>
            </w:r>
            <w:r/>
          </w:p>
        </w:tc>
        <w:tc>
          <w:tcPr>
            <w:tcW w:w="6517" w:type="dxa"/>
            <w:vAlign w:val="center"/>
            <w:textDirection w:val="lrTb"/>
            <w:noWrap/>
          </w:tcPr>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供应商根据本项目第四章“</w:t>
            </w:r>
            <w:r>
              <w:rPr>
                <w:rFonts w:hint="eastAsia" w:ascii="宋体" w:hAnsi="宋体" w:eastAsia="宋体" w:cs="宋体"/>
                <w:color w:val="auto"/>
                <w:sz w:val="24"/>
                <w:highlight w:val="none"/>
                <w:lang w:val="en-US"/>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交接过渡</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lang w:val="zh-CN"/>
              </w:rPr>
              <w:t xml:space="preserve">要求”</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提供完善可行的进场项目交接方案，与采购人原服务供应商进行项目交接的期限为</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个工作日，承诺拟派驻总人数80%到岗时间、承诺拟派驻总人数</w:t>
            </w:r>
            <w:r>
              <w:rPr>
                <w:rFonts w:hint="eastAsia" w:ascii="宋体" w:hAnsi="宋体" w:eastAsia="宋体" w:cs="宋体"/>
                <w:color w:val="auto"/>
                <w:sz w:val="24"/>
                <w:highlight w:val="none"/>
                <w:lang w:val="en-US" w:eastAsia="zh-CN"/>
              </w:rPr>
              <w:t xml:space="preserve">100</w:t>
            </w:r>
            <w:r>
              <w:rPr>
                <w:rFonts w:hint="eastAsia" w:ascii="宋体" w:hAnsi="宋体" w:eastAsia="宋体" w:cs="宋体"/>
                <w:color w:val="auto"/>
                <w:sz w:val="24"/>
                <w:highlight w:val="none"/>
                <w:lang w:val="zh-CN"/>
              </w:rPr>
              <w:t xml:space="preserve">%到岗时间以及承诺重点科室（手术室、医疗垃圾收集、急诊中心）</w:t>
            </w:r>
            <w:r>
              <w:rPr>
                <w:rFonts w:hint="eastAsia" w:ascii="宋体" w:hAnsi="宋体" w:eastAsia="宋体" w:cs="宋体"/>
                <w:color w:val="auto"/>
                <w:sz w:val="24"/>
                <w:highlight w:val="none"/>
                <w:lang w:val="en-US" w:eastAsia="zh-CN"/>
              </w:rPr>
              <w:t xml:space="preserve">100</w:t>
            </w:r>
            <w:r>
              <w:rPr>
                <w:rFonts w:hint="eastAsia" w:ascii="宋体" w:hAnsi="宋体" w:eastAsia="宋体" w:cs="宋体"/>
                <w:color w:val="auto"/>
                <w:sz w:val="24"/>
                <w:highlight w:val="none"/>
                <w:lang w:val="zh-CN"/>
              </w:rPr>
              <w:t xml:space="preserve">%到岗时间（自物业合同签订起开始计算）；</w:t>
            </w:r>
            <w:r>
              <w:rPr>
                <w:rFonts w:hint="eastAsia" w:ascii="宋体" w:hAnsi="宋体" w:eastAsia="宋体" w:cs="宋体"/>
                <w:color w:val="auto"/>
                <w:sz w:val="24"/>
                <w:highlight w:val="none"/>
              </w:rPr>
              <w:t xml:space="preserve">方案优于项目需求得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分，方案满足项目需求得</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zh-CN"/>
              </w:rPr>
              <w:t xml:space="preserve">不满足或不提供得0分。</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供应商编制的</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内容详细，</w:t>
            </w:r>
            <w:r>
              <w:rPr>
                <w:rFonts w:hint="eastAsia" w:ascii="宋体" w:hAnsi="宋体" w:eastAsia="宋体" w:cs="宋体"/>
                <w:color w:val="auto"/>
                <w:sz w:val="24"/>
                <w:highlight w:val="none"/>
                <w:lang w:val="zh-CN"/>
              </w:rPr>
              <w:t xml:space="preserve">完全覆盖招标文件的</w:t>
            </w:r>
            <w:r>
              <w:rPr>
                <w:rFonts w:hint="eastAsia" w:ascii="宋体" w:hAnsi="宋体" w:eastAsia="宋体" w:cs="宋体"/>
                <w:color w:val="auto"/>
                <w:sz w:val="24"/>
                <w:highlight w:val="none"/>
                <w:lang w:val="en-US" w:eastAsia="zh-CN"/>
              </w:rPr>
              <w:t xml:space="preserve">需求</w:t>
            </w:r>
            <w:r>
              <w:rPr>
                <w:rFonts w:hint="eastAsia" w:ascii="宋体" w:hAnsi="宋体" w:eastAsia="宋体" w:cs="宋体"/>
                <w:color w:val="auto"/>
                <w:sz w:val="24"/>
                <w:highlight w:val="none"/>
                <w:lang w:val="zh-CN"/>
              </w:rPr>
              <w:t xml:space="preserve">服务内容，</w:t>
            </w:r>
            <w:r>
              <w:rPr>
                <w:rFonts w:hint="eastAsia" w:ascii="宋体" w:hAnsi="宋体" w:eastAsia="宋体" w:cs="宋体"/>
                <w:color w:val="auto"/>
                <w:sz w:val="24"/>
                <w:highlight w:val="none"/>
                <w:lang w:val="en-US" w:eastAsia="zh-CN"/>
              </w:rPr>
              <w:t xml:space="preserve">有针对性，切实可行，同时还包含了除招标文件项目需求以外且和本项目有关的内容，可视为优于；</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能响应需求的，视为满足项目需求；方案内容简单，不能完全响应项目需求或有负偏离的，可视为不符合。具体由评标委员会根据投标人的方案进行评审。</w:t>
            </w:r>
            <w:r/>
          </w:p>
        </w:tc>
        <w:tc>
          <w:tcPr>
            <w:tcW w:w="749" w:type="dxa"/>
            <w:vAlign w:val="center"/>
            <w:textDirection w:val="lrTb"/>
            <w:noWrap/>
          </w:tcPr>
          <w:p>
            <w:pPr>
              <w:jc w:val="center"/>
              <w:keepLines w:val="0"/>
              <w:keepNext w:val="0"/>
              <w:pageBreakBefore w:val="0"/>
              <w:spacing w:line="560" w:lineRule="exact"/>
              <w:widowControl w:val="off"/>
              <w:rPr>
                <w:rFonts w:hint="default"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8分</w:t>
            </w:r>
            <w:r/>
          </w:p>
        </w:tc>
      </w:tr>
      <w:tr>
        <w:trPr>
          <w:trHeight w:val="566"/>
        </w:trPr>
        <w:tc>
          <w:tcPr>
            <w:tcW w:w="748" w:type="dxa"/>
            <w:vAlign w:val="center"/>
            <w:vMerge w:val="continue"/>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672"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物业服务</w:t>
            </w:r>
            <w:r/>
          </w:p>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方案</w:t>
            </w:r>
            <w:r/>
          </w:p>
        </w:tc>
        <w:tc>
          <w:tcPr>
            <w:tcW w:w="6517" w:type="dxa"/>
            <w:vAlign w:val="center"/>
            <w:textDirection w:val="lrTb"/>
            <w:noWrap/>
          </w:tcPr>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供应商根据本项目第四章“</w:t>
            </w:r>
            <w:r>
              <w:rPr>
                <w:rFonts w:hint="eastAsia" w:ascii="宋体" w:hAnsi="宋体" w:eastAsia="宋体" w:cs="宋体"/>
                <w:color w:val="auto"/>
                <w:sz w:val="24"/>
                <w:highlight w:val="none"/>
                <w:lang w:val="en-US"/>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4-3.9项目</w:t>
            </w:r>
            <w:r>
              <w:rPr>
                <w:rFonts w:hint="eastAsia" w:ascii="宋体" w:hAnsi="宋体" w:eastAsia="宋体" w:cs="宋体"/>
                <w:color w:val="auto"/>
                <w:sz w:val="24"/>
                <w:highlight w:val="none"/>
                <w:lang w:val="zh-CN"/>
              </w:rPr>
              <w:t xml:space="preserve">要求”</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制定</w:t>
            </w:r>
            <w:r>
              <w:rPr>
                <w:rFonts w:hint="eastAsia" w:ascii="宋体" w:hAnsi="宋体" w:eastAsia="宋体" w:cs="宋体"/>
                <w:color w:val="auto"/>
                <w:sz w:val="24"/>
                <w:highlight w:val="none"/>
                <w:lang w:val="zh-CN"/>
              </w:rPr>
              <w:t xml:space="preserve">完善可行的</w:t>
            </w:r>
            <w:r>
              <w:rPr>
                <w:rFonts w:hint="eastAsia" w:ascii="宋体" w:hAnsi="宋体" w:eastAsia="宋体" w:cs="宋体"/>
                <w:color w:val="auto"/>
                <w:sz w:val="24"/>
                <w:highlight w:val="none"/>
                <w:lang w:val="en-US" w:eastAsia="zh-CN"/>
              </w:rPr>
              <w:t xml:space="preserve">物业服务</w:t>
            </w:r>
            <w:r>
              <w:rPr>
                <w:rFonts w:hint="eastAsia" w:ascii="宋体" w:hAnsi="宋体" w:eastAsia="宋体" w:cs="宋体"/>
                <w:color w:val="auto"/>
                <w:sz w:val="24"/>
                <w:highlight w:val="none"/>
                <w:lang w:val="zh-CN"/>
              </w:rPr>
              <w:t xml:space="preserve">方案，物业服务方案主要包括：保洁服务方案、陪检配送服务方案、医技工勤服务方案、后勤技术服务方案、导医服务方案、医疗垃圾收集、电梯运行服务方案等。</w:t>
            </w:r>
            <w:r>
              <w:rPr>
                <w:rFonts w:hint="eastAsia" w:ascii="宋体" w:hAnsi="宋体" w:eastAsia="宋体" w:cs="宋体"/>
                <w:color w:val="auto"/>
                <w:sz w:val="24"/>
                <w:highlight w:val="none"/>
              </w:rPr>
              <w:t xml:space="preserve">方案优于项目需求得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分，方案满足项目需求得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zh-CN"/>
              </w:rPr>
              <w:t xml:space="preserve">不满足或不提供得0分。</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供应商根据本项目第四章“</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物业管理服务人员需求”，</w:t>
            </w:r>
            <w:r>
              <w:rPr>
                <w:rFonts w:hint="eastAsia" w:ascii="宋体" w:hAnsi="宋体" w:eastAsia="宋体" w:cs="宋体"/>
                <w:color w:val="auto"/>
                <w:sz w:val="24"/>
                <w:highlight w:val="none"/>
              </w:rPr>
              <w:t xml:space="preserve">设置项目组织机构，人员配备方案（根据项目需求配备项目经理、助理、主管、各类人员等）、制定针对本项目的物业服务管理规章制度、人员岗位职责、人员培训方案等。方案优于项目需求得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分，方案满足项目需求得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zh-CN"/>
              </w:rPr>
              <w:t xml:space="preserve">不满足或不提供得0分。</w:t>
            </w:r>
            <w:r/>
          </w:p>
        </w:tc>
        <w:tc>
          <w:tcPr>
            <w:tcW w:w="749" w:type="dxa"/>
            <w:vAlign w:val="center"/>
            <w:textDirection w:val="lrTb"/>
            <w:noWrap/>
          </w:tcPr>
          <w:p>
            <w:pPr>
              <w:jc w:val="center"/>
              <w:keepLines w:val="0"/>
              <w:keepNext w:val="0"/>
              <w:pageBreakBefore w:val="0"/>
              <w:spacing w:line="560" w:lineRule="exact"/>
              <w:widowControl w:val="off"/>
              <w:rPr>
                <w:rFonts w:hint="default"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7分</w:t>
            </w:r>
            <w:r/>
          </w:p>
        </w:tc>
      </w:tr>
      <w:tr>
        <w:trPr>
          <w:trHeight w:val="566"/>
        </w:trPr>
        <w:tc>
          <w:tcPr>
            <w:tcW w:w="748" w:type="dxa"/>
            <w:vAlign w:val="center"/>
            <w:vMerge w:val="continue"/>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672"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应急</w:t>
            </w:r>
            <w:r>
              <w:rPr>
                <w:rFonts w:hint="eastAsia" w:ascii="宋体" w:hAnsi="宋体" w:eastAsia="宋体" w:cs="宋体"/>
                <w:color w:val="auto"/>
                <w:sz w:val="24"/>
                <w:szCs w:val="24"/>
                <w:highlight w:val="none"/>
                <w:lang w:val="en-US" w:eastAsia="zh-CN"/>
              </w:rPr>
              <w:t xml:space="preserve">保障</w:t>
            </w:r>
            <w:r/>
          </w:p>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方案</w:t>
            </w:r>
            <w:r/>
          </w:p>
        </w:tc>
        <w:tc>
          <w:tcPr>
            <w:tcW w:w="6517" w:type="dxa"/>
            <w:vAlign w:val="center"/>
            <w:textDirection w:val="lrTb"/>
            <w:noWrap/>
          </w:tcPr>
          <w:p>
            <w:pPr>
              <w:ind w:firstLine="480"/>
              <w:jc w:val="left"/>
              <w:keepLines w:val="0"/>
              <w:keepNext w:val="0"/>
              <w:pageBreakBefore w:val="0"/>
              <w:spacing w:line="56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供应商根据</w:t>
            </w:r>
            <w:r>
              <w:rPr>
                <w:rFonts w:hint="eastAsia" w:ascii="宋体" w:hAnsi="宋体" w:eastAsia="宋体" w:cs="宋体"/>
                <w:color w:val="auto"/>
                <w:sz w:val="24"/>
                <w:highlight w:val="none"/>
                <w:lang w:val="zh-CN"/>
              </w:rPr>
              <w:t xml:space="preserve">本项目第四章“</w:t>
            </w:r>
            <w:r>
              <w:rPr>
                <w:rFonts w:hint="eastAsia" w:ascii="宋体" w:hAnsi="宋体" w:eastAsia="宋体" w:cs="宋体"/>
                <w:color w:val="auto"/>
                <w:sz w:val="24"/>
                <w:highlight w:val="none"/>
                <w:lang w:val="en-US" w:eastAsia="zh-CN"/>
              </w:rPr>
              <w:t xml:space="preserve">3.10</w:t>
            </w:r>
            <w:r>
              <w:rPr>
                <w:rFonts w:hint="eastAsia" w:ascii="宋体" w:hAnsi="宋体" w:eastAsia="宋体" w:cs="宋体"/>
                <w:color w:val="auto"/>
                <w:sz w:val="24"/>
                <w:highlight w:val="none"/>
                <w:lang w:val="zh-CN"/>
              </w:rPr>
              <w:t xml:space="preserve">应急保障要求”</w:t>
            </w:r>
            <w:r>
              <w:rPr>
                <w:rFonts w:hint="eastAsia" w:ascii="宋体" w:hAnsi="宋体" w:eastAsia="宋体" w:cs="宋体"/>
                <w:color w:val="auto"/>
                <w:sz w:val="24"/>
                <w:highlight w:val="none"/>
                <w:lang w:val="en-US" w:eastAsia="zh-CN"/>
              </w:rPr>
              <w:t xml:space="preserve">，编制</w:t>
            </w:r>
            <w:r>
              <w:rPr>
                <w:rFonts w:hint="eastAsia" w:ascii="宋体" w:hAnsi="宋体" w:eastAsia="宋体" w:cs="宋体"/>
                <w:color w:val="auto"/>
                <w:sz w:val="24"/>
                <w:highlight w:val="none"/>
              </w:rPr>
              <w:t xml:space="preserve">突发事件</w:t>
            </w:r>
            <w:r>
              <w:rPr>
                <w:rFonts w:hint="eastAsia" w:ascii="宋体" w:hAnsi="宋体" w:eastAsia="宋体" w:cs="宋体"/>
                <w:color w:val="auto"/>
                <w:sz w:val="24"/>
                <w:highlight w:val="none"/>
                <w:lang w:val="en-US" w:eastAsia="zh-CN"/>
              </w:rPr>
              <w:t xml:space="preserve">应急</w:t>
            </w:r>
            <w:r>
              <w:rPr>
                <w:rFonts w:hint="eastAsia" w:ascii="宋体" w:hAnsi="宋体" w:eastAsia="宋体" w:cs="宋体"/>
                <w:color w:val="auto"/>
                <w:sz w:val="24"/>
                <w:highlight w:val="none"/>
              </w:rPr>
              <w:t xml:space="preserve">处理方案，处理方法等。方案优于项目需求得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zh-CN"/>
              </w:rPr>
              <w:t xml:space="preserve">不满足或不提供得0分。</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投标人编制的</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内容详细，</w:t>
            </w:r>
            <w:r>
              <w:rPr>
                <w:rFonts w:hint="eastAsia" w:ascii="宋体" w:hAnsi="宋体" w:eastAsia="宋体" w:cs="宋体"/>
                <w:color w:val="auto"/>
                <w:sz w:val="24"/>
                <w:highlight w:val="none"/>
                <w:lang w:val="zh-CN"/>
              </w:rPr>
              <w:t xml:space="preserve">完全覆盖招标文件的</w:t>
            </w:r>
            <w:r>
              <w:rPr>
                <w:rFonts w:hint="eastAsia" w:ascii="宋体" w:hAnsi="宋体" w:eastAsia="宋体" w:cs="宋体"/>
                <w:color w:val="auto"/>
                <w:sz w:val="24"/>
                <w:highlight w:val="none"/>
                <w:lang w:val="en-US" w:eastAsia="zh-CN"/>
              </w:rPr>
              <w:t xml:space="preserve">需求</w:t>
            </w:r>
            <w:r>
              <w:rPr>
                <w:rFonts w:hint="eastAsia" w:ascii="宋体" w:hAnsi="宋体" w:eastAsia="宋体" w:cs="宋体"/>
                <w:color w:val="auto"/>
                <w:sz w:val="24"/>
                <w:highlight w:val="none"/>
                <w:lang w:val="zh-CN"/>
              </w:rPr>
              <w:t xml:space="preserve">服务内容，</w:t>
            </w:r>
            <w:r>
              <w:rPr>
                <w:rFonts w:hint="eastAsia" w:ascii="宋体" w:hAnsi="宋体" w:eastAsia="宋体" w:cs="宋体"/>
                <w:color w:val="auto"/>
                <w:sz w:val="24"/>
                <w:highlight w:val="none"/>
                <w:lang w:val="en-US" w:eastAsia="zh-CN"/>
              </w:rPr>
              <w:t xml:space="preserve">有针对性，切实可行，同时还包含了除招标文件项目需求以外且和本项目有关的内容，可视为优于；</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能响应需求的，视为满足项目需求；方案内容简单，不能完全响应项目需求或有负偏离的，可视为不符合。具体由评标委员会根据投标人的方案进行评审。</w:t>
            </w:r>
            <w:r/>
          </w:p>
        </w:tc>
        <w:tc>
          <w:tcPr>
            <w:tcW w:w="749" w:type="dxa"/>
            <w:vAlign w:val="center"/>
            <w:textDirection w:val="lrTb"/>
            <w:noWrap/>
          </w:tcPr>
          <w:p>
            <w:pPr>
              <w:jc w:val="center"/>
              <w:keepLines w:val="0"/>
              <w:keepNext w:val="0"/>
              <w:pageBreakBefore w:val="0"/>
              <w:spacing w:line="560" w:lineRule="exact"/>
              <w:widowControl w:val="off"/>
              <w:rPr>
                <w:rFonts w:hint="default"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2分</w:t>
            </w:r>
            <w:r/>
          </w:p>
        </w:tc>
      </w:tr>
      <w:tr>
        <w:trPr>
          <w:trHeight w:val="566"/>
        </w:trPr>
        <w:tc>
          <w:tcPr>
            <w:tcW w:w="748" w:type="dxa"/>
            <w:vAlign w:val="center"/>
            <w:vMerge w:val="continue"/>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672"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投入设备</w:t>
            </w:r>
            <w:r/>
          </w:p>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方案</w:t>
            </w:r>
            <w:r/>
          </w:p>
        </w:tc>
        <w:tc>
          <w:tcPr>
            <w:tcW w:w="6517" w:type="dxa"/>
            <w:vAlign w:val="center"/>
            <w:textDirection w:val="lrTb"/>
            <w:noWrap/>
          </w:tcPr>
          <w:p>
            <w:pPr>
              <w:ind w:firstLine="480"/>
              <w:jc w:val="left"/>
              <w:keepLines w:val="0"/>
              <w:keepNext w:val="0"/>
              <w:pageBreakBefore w:val="0"/>
              <w:spacing w:line="56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供应商根据</w:t>
            </w:r>
            <w:r>
              <w:rPr>
                <w:rFonts w:hint="eastAsia" w:ascii="宋体" w:hAnsi="宋体" w:eastAsia="宋体" w:cs="宋体"/>
                <w:color w:val="auto"/>
                <w:sz w:val="24"/>
                <w:highlight w:val="none"/>
                <w:lang w:val="zh-CN"/>
              </w:rPr>
              <w:t xml:space="preserve">本项目第四章“</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履行合同所需的设备、工具及耗材</w:t>
            </w:r>
            <w:r>
              <w:rPr>
                <w:rFonts w:hint="eastAsia" w:ascii="宋体" w:hAnsi="宋体" w:eastAsia="宋体" w:cs="宋体"/>
                <w:color w:val="auto"/>
                <w:sz w:val="24"/>
                <w:highlight w:val="none"/>
                <w:lang w:val="en-US" w:eastAsia="zh-CN"/>
              </w:rPr>
              <w:t xml:space="preserve">要求</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投标人须根据招标文件的要求承诺配备相应的工具设备，须列详细清单。拟投入工具设备</w:t>
            </w:r>
            <w:r>
              <w:rPr>
                <w:rFonts w:hint="eastAsia" w:ascii="宋体" w:hAnsi="宋体" w:eastAsia="宋体" w:cs="宋体"/>
                <w:color w:val="auto"/>
                <w:sz w:val="24"/>
                <w:highlight w:val="none"/>
                <w:lang w:eastAsia="zh-CN"/>
              </w:rPr>
              <w:t xml:space="preserve">（无人机、扫地机器人等运用）</w:t>
            </w:r>
            <w:r>
              <w:rPr>
                <w:rFonts w:hint="eastAsia" w:ascii="宋体" w:hAnsi="宋体" w:eastAsia="宋体" w:cs="宋体"/>
                <w:color w:val="auto"/>
                <w:sz w:val="24"/>
                <w:highlight w:val="none"/>
              </w:rPr>
              <w:t xml:space="preserve">优于项目需求得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分，方案满足项目需求得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zh-CN"/>
              </w:rPr>
              <w:t xml:space="preserve">不满足或不提供得0分。</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投标人编制的</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投入工具设备方案详细，</w:t>
            </w:r>
            <w:r>
              <w:rPr>
                <w:rFonts w:hint="eastAsia" w:ascii="宋体" w:hAnsi="宋体" w:eastAsia="宋体" w:cs="宋体"/>
                <w:color w:val="auto"/>
                <w:sz w:val="24"/>
                <w:highlight w:val="none"/>
                <w:lang w:val="zh-CN"/>
              </w:rPr>
              <w:t xml:space="preserve">完全覆盖招标文件的</w:t>
            </w:r>
            <w:r>
              <w:rPr>
                <w:rFonts w:hint="eastAsia" w:ascii="宋体" w:hAnsi="宋体" w:eastAsia="宋体" w:cs="宋体"/>
                <w:color w:val="auto"/>
                <w:sz w:val="24"/>
                <w:highlight w:val="none"/>
                <w:lang w:val="en-US" w:eastAsia="zh-CN"/>
              </w:rPr>
              <w:t xml:space="preserve">需求</w:t>
            </w:r>
            <w:r>
              <w:rPr>
                <w:rFonts w:hint="eastAsia" w:ascii="宋体" w:hAnsi="宋体" w:eastAsia="宋体" w:cs="宋体"/>
                <w:color w:val="auto"/>
                <w:sz w:val="24"/>
                <w:highlight w:val="none"/>
                <w:lang w:val="zh-CN"/>
              </w:rPr>
              <w:t xml:space="preserve">服务内容，</w:t>
            </w:r>
            <w:r>
              <w:rPr>
                <w:rFonts w:hint="eastAsia" w:ascii="宋体" w:hAnsi="宋体" w:eastAsia="宋体" w:cs="宋体"/>
                <w:color w:val="auto"/>
                <w:sz w:val="24"/>
                <w:highlight w:val="none"/>
                <w:lang w:val="en-US" w:eastAsia="zh-CN"/>
              </w:rPr>
              <w:t xml:space="preserve">有针对性，切实可行，同时还包含了除招标文件项目需求以外且和本项目有关的内容，可视为优于；</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能响应需求的，视为满足项目需求；方案内容简单，不能完全响应项目需求或有负偏离的，可视为不符合。具体由评标委员会根据投标人的方案进行评审。</w:t>
            </w:r>
            <w:r/>
          </w:p>
        </w:tc>
        <w:tc>
          <w:tcPr>
            <w:tcW w:w="749" w:type="dxa"/>
            <w:vAlign w:val="center"/>
            <w:textDirection w:val="lrTb"/>
            <w:noWrap/>
          </w:tcPr>
          <w:p>
            <w:pPr>
              <w:jc w:val="center"/>
              <w:keepLines w:val="0"/>
              <w:keepNext w:val="0"/>
              <w:pageBreakBefore w:val="0"/>
              <w:spacing w:line="560" w:lineRule="exact"/>
              <w:widowControl w:val="off"/>
              <w:rPr>
                <w:rFonts w:hint="eastAsia" w:ascii="宋体" w:hAnsi="宋体" w:cs="宋体"/>
                <w:color w:val="auto"/>
                <w:sz w:val="24"/>
                <w:szCs w:val="24"/>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r>
    </w:tbl>
    <w:p>
      <w:pPr>
        <w:pStyle w:val="859"/>
        <w:ind w:firstLine="482"/>
        <w:jc w:val="left"/>
        <w:keepLines w:val="0"/>
        <w:keepNext/>
        <w:pageBreakBefore w:val="0"/>
        <w:spacing w:line="520" w:lineRule="exact"/>
        <w:widowControl w:val="off"/>
        <w:rPr>
          <w:rFonts w:hint="eastAsia" w:ascii="宋体" w:hAnsi="宋体" w:eastAsia="宋体" w:cs="宋体"/>
          <w:b/>
          <w:i/>
          <w:iCs/>
          <w:color w:val="auto"/>
          <w:sz w:val="24"/>
          <w:szCs w:val="24"/>
          <w:highlight w:val="none"/>
          <w:u w:val="single"/>
        </w:rPr>
        <w:outlineLvl w:val="9"/>
      </w:pPr>
      <w:r>
        <w:rPr>
          <w:rFonts w:hint="eastAsia" w:ascii="宋体" w:hAnsi="宋体" w:eastAsia="宋体" w:cs="宋体"/>
          <w:b/>
          <w:i/>
          <w:iCs/>
          <w:color w:val="auto"/>
          <w:sz w:val="24"/>
          <w:szCs w:val="24"/>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80页，否则本项内容不得分。上传的“明标”材料中不得出现与服务方案相关的内容，否则作无效标书处理。</w:t>
      </w:r>
      <w:r/>
    </w:p>
    <w:p>
      <w:pPr>
        <w:rPr>
          <w:rFonts w:hint="eastAsia" w:ascii="宋体" w:hAnsi="宋体" w:eastAsia="宋体" w:cs="宋体"/>
          <w:bCs/>
          <w:color w:val="auto"/>
          <w:sz w:val="44"/>
          <w:highlight w:val="none"/>
        </w:rPr>
      </w:pPr>
      <w:r/>
      <w:bookmarkStart w:id="19" w:name="_Toc20321"/>
      <w:r>
        <w:rPr>
          <w:rFonts w:hint="eastAsia" w:ascii="宋体" w:hAnsi="宋体" w:eastAsia="宋体" w:cs="宋体"/>
          <w:bCs/>
          <w:color w:val="auto"/>
          <w:sz w:val="44"/>
          <w:highlight w:val="none"/>
        </w:rPr>
        <w:br w:type="page" w:clear="all"/>
      </w:r>
      <w:r/>
    </w:p>
    <w:p>
      <w:pPr>
        <w:pStyle w:val="859"/>
        <w:spacing w:line="360" w:lineRule="auto"/>
        <w:rPr>
          <w:rFonts w:hint="eastAsia" w:ascii="宋体" w:hAnsi="宋体" w:eastAsia="宋体" w:cs="宋体"/>
          <w:bCs/>
          <w:color w:val="auto"/>
          <w:sz w:val="44"/>
          <w:highlight w:val="none"/>
        </w:rPr>
        <w:outlineLvl w:val="0"/>
      </w:pPr>
      <w:r>
        <w:rPr>
          <w:rFonts w:hint="eastAsia" w:ascii="宋体" w:hAnsi="宋体" w:eastAsia="宋体" w:cs="宋体"/>
          <w:bCs/>
          <w:color w:val="auto"/>
          <w:sz w:val="44"/>
          <w:highlight w:val="none"/>
        </w:rPr>
      </w:r>
      <w:r/>
    </w:p>
    <w:p>
      <w:pPr>
        <w:pStyle w:val="859"/>
        <w:spacing w:line="360" w:lineRule="auto"/>
        <w:rPr>
          <w:rFonts w:hint="eastAsia" w:ascii="黑体" w:hAnsi="黑体" w:eastAsia="黑体" w:cs="黑体"/>
          <w:color w:val="auto"/>
          <w:sz w:val="44"/>
          <w:szCs w:val="44"/>
          <w:highlight w:val="none"/>
        </w:rPr>
        <w:outlineLvl w:val="0"/>
      </w:pPr>
      <w:r>
        <w:rPr>
          <w:rFonts w:hint="eastAsia" w:ascii="黑体" w:hAnsi="黑体" w:eastAsia="黑体" w:cs="黑体"/>
          <w:bCs/>
          <w:color w:val="auto"/>
          <w:sz w:val="44"/>
          <w:highlight w:val="none"/>
        </w:rPr>
        <w:t xml:space="preserve">第六章 投标文件格式</w:t>
      </w:r>
      <w:bookmarkEnd w:id="19"/>
      <w:r/>
      <w:r/>
    </w:p>
    <w:p>
      <w:pPr>
        <w:jc w:val="both"/>
        <w:spacing w:line="360" w:lineRule="auto"/>
        <w:rPr>
          <w:rFonts w:hint="eastAsia" w:ascii="宋体" w:hAnsi="宋体" w:eastAsia="宋体" w:cs="宋体"/>
          <w:b/>
          <w:color w:val="auto"/>
          <w:sz w:val="72"/>
          <w:highlight w:val="none"/>
        </w:rPr>
        <w:outlineLvl w:val="9"/>
      </w:pPr>
      <w:r/>
      <w:bookmarkStart w:id="20" w:name="_Toc23368"/>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t xml:space="preserve">投  标  文  件</w:t>
      </w:r>
      <w:bookmarkEnd w:id="20"/>
      <w:r/>
      <w:r/>
    </w:p>
    <w:p>
      <w:pPr>
        <w:pStyle w:val="990"/>
        <w:ind w:firstLine="723"/>
        <w:jc w:val="both"/>
        <w:spacing w:beforeAutospacing="0" w:afterAutospacing="0"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90"/>
        <w:ind w:firstLine="723"/>
        <w:jc w:val="both"/>
        <w:spacing w:beforeAutospacing="0" w:afterAutospacing="0"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90"/>
        <w:ind w:firstLine="723"/>
        <w:jc w:val="both"/>
        <w:spacing w:beforeAutospacing="0" w:afterAutospacing="0"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90"/>
        <w:ind w:firstLine="1446"/>
        <w:jc w:val="both"/>
        <w:keepLines w:val="0"/>
        <w:keepNext w:val="0"/>
        <w:pageBreakBefore w:val="0"/>
        <w:spacing w:beforeAutospacing="0" w:afterAutospacing="0" w:line="500" w:lineRule="exact"/>
        <w:widowControl/>
        <w:rPr>
          <w:rFonts w:hint="eastAsia" w:ascii="宋体" w:hAnsi="宋体" w:eastAsia="宋体" w:cs="宋体"/>
          <w:color w:val="auto"/>
          <w:highlight w:val="none"/>
        </w:rPr>
        <w:outlineLvl w:val="9"/>
      </w:pPr>
      <w:r/>
      <w:bookmarkStart w:id="21" w:name="_Toc9337"/>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rPr>
          <w:rFonts w:hint="eastAsia"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bookmarkEnd w:id="21"/>
      <w:r/>
      <w:r/>
    </w:p>
    <w:p>
      <w:pPr>
        <w:pStyle w:val="990"/>
        <w:ind w:firstLine="1446"/>
        <w:jc w:val="both"/>
        <w:keepLines w:val="0"/>
        <w:keepNext w:val="0"/>
        <w:pageBreakBefore w:val="0"/>
        <w:spacing w:beforeAutospacing="0" w:afterAutospacing="0" w:line="500" w:lineRule="exact"/>
        <w:widowControl/>
        <w:rPr>
          <w:rFonts w:hint="default" w:ascii="宋体" w:hAnsi="宋体" w:eastAsia="宋体" w:cs="宋体"/>
          <w:b/>
          <w:color w:val="auto"/>
          <w:sz w:val="36"/>
          <w:szCs w:val="36"/>
          <w:highlight w:val="none"/>
          <w:u w:val="single"/>
          <w:lang w:val="en-US" w:eastAsia="zh-CN"/>
        </w:rPr>
        <w:outlineLvl w:val="9"/>
      </w:pPr>
      <w:r/>
      <w:bookmarkStart w:id="22" w:name="_Toc24100"/>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bookmarkEnd w:id="22"/>
      <w:r>
        <w:rPr>
          <w:rFonts w:hint="eastAsia" w:cs="宋体"/>
          <w:b/>
          <w:color w:val="auto"/>
          <w:sz w:val="36"/>
          <w:szCs w:val="36"/>
          <w:highlight w:val="none"/>
          <w:u w:val="single"/>
          <w:lang w:val="en-US" w:eastAsia="zh-CN"/>
        </w:rPr>
        <w:t xml:space="preserve">          </w:t>
      </w:r>
      <w:r/>
    </w:p>
    <w:p>
      <w:pPr>
        <w:pStyle w:val="990"/>
        <w:ind w:firstLine="1446"/>
        <w:jc w:val="both"/>
        <w:keepLines w:val="0"/>
        <w:keepNext w:val="0"/>
        <w:pageBreakBefore w:val="0"/>
        <w:spacing w:beforeAutospacing="0" w:afterAutospacing="0" w:line="500" w:lineRule="exact"/>
        <w:widowControl/>
        <w:rPr>
          <w:rFonts w:hint="eastAsia" w:ascii="宋体" w:hAnsi="宋体" w:eastAsia="宋体" w:cs="宋体"/>
          <w:b/>
          <w:color w:val="auto"/>
          <w:sz w:val="36"/>
          <w:szCs w:val="36"/>
          <w:highlight w:val="none"/>
          <w:u w:val="single"/>
        </w:rPr>
        <w:outlineLvl w:val="9"/>
      </w:pPr>
      <w:r/>
      <w:bookmarkStart w:id="23" w:name="_Toc7579"/>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bookmarkEnd w:id="23"/>
      <w:r/>
      <w:r/>
    </w:p>
    <w:p>
      <w:pPr>
        <w:pStyle w:val="990"/>
        <w:ind w:firstLine="1446"/>
        <w:jc w:val="both"/>
        <w:keepLines w:val="0"/>
        <w:keepNext w:val="0"/>
        <w:pageBreakBefore w:val="0"/>
        <w:spacing w:beforeAutospacing="0" w:afterAutospacing="0" w:line="500" w:lineRule="exact"/>
        <w:widowControl/>
        <w:rPr>
          <w:rFonts w:hint="eastAsia" w:ascii="宋体" w:hAnsi="宋体" w:eastAsia="宋体" w:cs="宋体"/>
          <w:color w:val="auto"/>
          <w:highlight w:val="none"/>
          <w:lang w:val="en-US" w:eastAsia="zh-CN"/>
        </w:rPr>
        <w:outlineLvl w:val="9"/>
      </w:pPr>
      <w:r/>
      <w:bookmarkStart w:id="24" w:name="_Toc21823"/>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bookmarkEnd w:id="24"/>
      <w:r>
        <w:rPr>
          <w:rFonts w:hint="eastAsia" w:cs="宋体"/>
          <w:b/>
          <w:color w:val="auto"/>
          <w:sz w:val="36"/>
          <w:szCs w:val="36"/>
          <w:highlight w:val="none"/>
          <w:u w:val="single"/>
          <w:lang w:val="en-US" w:eastAsia="zh-CN"/>
        </w:rPr>
        <w:t xml:space="preserve"> </w:t>
      </w:r>
      <w:r/>
    </w:p>
    <w:p>
      <w:pP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p>
    <w:p>
      <w:pPr>
        <w:pStyle w:val="9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投标文件目录</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一、法人或者其他组织的营业执照等证明文件，自然人的身份证明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二、上一年度的财务状况</w:t>
      </w:r>
      <w:r>
        <w:rPr>
          <w:rFonts w:hint="eastAsia" w:ascii="宋体" w:hAnsi="宋体" w:cs="宋体"/>
          <w:color w:val="auto"/>
          <w:sz w:val="24"/>
          <w:highlight w:val="none"/>
          <w:lang w:val="en-US" w:eastAsia="zh-CN"/>
        </w:rPr>
        <w:t xml:space="preserve">报告</w:t>
      </w:r>
      <w:r>
        <w:rPr>
          <w:rFonts w:hint="eastAsia" w:ascii="宋体" w:hAnsi="宋体" w:eastAsia="宋体" w:cs="宋体"/>
          <w:color w:val="auto"/>
          <w:sz w:val="24"/>
          <w:highlight w:val="none"/>
        </w:rPr>
        <w:t xml:space="preserve">（至少提供资产负债表、利润表、现金流量表，投标人成立不满一年无需提供）</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三、具备履行合同所必需的设备和专业技术能力的书面声明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五、参加政府采购活动前3年内在经营活动中没有重大违法记录的书面声明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六、单位负责人为同一人或者存在直接控股、管理关系的不同供应商，不得参加同一合同项下的政府采购活动（投标文件中需提供声明）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七、</w:t>
      </w:r>
      <w:r>
        <w:rPr>
          <w:rFonts w:hint="eastAsia" w:ascii="宋体" w:hAnsi="宋体" w:eastAsia="宋体" w:cs="宋体"/>
          <w:color w:val="auto"/>
          <w:sz w:val="24"/>
          <w:highlight w:val="none"/>
        </w:rPr>
        <w:t xml:space="preserve">特定资格要求的证明文件（如果本项目设置特定资格要求，则需要提供）</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八</w:t>
      </w:r>
      <w:r>
        <w:rPr>
          <w:rFonts w:hint="eastAsia" w:ascii="宋体" w:hAnsi="宋体" w:eastAsia="宋体" w:cs="宋体"/>
          <w:color w:val="auto"/>
          <w:sz w:val="24"/>
          <w:highlight w:val="none"/>
        </w:rPr>
        <w:t xml:space="preserve">、法人授权书</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九</w:t>
      </w:r>
      <w:r>
        <w:rPr>
          <w:rFonts w:hint="eastAsia" w:ascii="宋体" w:hAnsi="宋体" w:eastAsia="宋体" w:cs="宋体"/>
          <w:color w:val="auto"/>
          <w:sz w:val="24"/>
          <w:highlight w:val="none"/>
        </w:rPr>
        <w:t xml:space="preserve">、投标函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rPr>
        <w:t xml:space="preserve">、中小企业声明函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rPr>
        <w:t xml:space="preserve">、残疾人福利性单位声明函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、投标分项报价表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三</w:t>
      </w:r>
      <w:r>
        <w:rPr>
          <w:rFonts w:hint="eastAsia" w:ascii="宋体" w:hAnsi="宋体" w:eastAsia="宋体" w:cs="宋体"/>
          <w:color w:val="auto"/>
          <w:sz w:val="24"/>
          <w:highlight w:val="none"/>
        </w:rPr>
        <w:t xml:space="preserve">、技术要求响应及偏离表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四</w:t>
      </w:r>
      <w:r>
        <w:rPr>
          <w:rFonts w:hint="eastAsia" w:ascii="宋体" w:hAnsi="宋体" w:eastAsia="宋体" w:cs="宋体"/>
          <w:color w:val="auto"/>
          <w:sz w:val="24"/>
          <w:highlight w:val="none"/>
        </w:rPr>
        <w:t xml:space="preserve">、商务要求响应及偏离表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、开标一览表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六</w:t>
      </w:r>
      <w:r>
        <w:rPr>
          <w:rFonts w:hint="eastAsia" w:ascii="宋体" w:hAnsi="宋体" w:eastAsia="宋体" w:cs="宋体"/>
          <w:color w:val="auto"/>
          <w:sz w:val="24"/>
          <w:highlight w:val="none"/>
        </w:rPr>
        <w:t xml:space="preserve">、服务方案等</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七</w:t>
      </w:r>
      <w:r>
        <w:rPr>
          <w:rFonts w:hint="eastAsia" w:ascii="宋体" w:hAnsi="宋体" w:eastAsia="宋体" w:cs="宋体"/>
          <w:color w:val="auto"/>
          <w:sz w:val="24"/>
          <w:highlight w:val="none"/>
        </w:rPr>
        <w:t xml:space="preserve">、盐城市政府采购事前信用承诺书</w:t>
      </w:r>
      <w:r/>
    </w:p>
    <w:p>
      <w:pPr>
        <w:jc w:val="center"/>
        <w:keepLines w:val="0"/>
        <w:keepNext w:val="0"/>
        <w:pageBreakBefore w:val="0"/>
        <w:spacing w:line="500" w:lineRule="exact"/>
        <w:widowControl/>
        <w:rPr>
          <w:rFonts w:hint="eastAsia" w:ascii="黑体" w:hAnsi="黑体" w:eastAsia="黑体" w:cs="黑体"/>
          <w:i/>
          <w:color w:val="auto"/>
          <w:sz w:val="32"/>
          <w:szCs w:val="32"/>
          <w:highlight w:val="none"/>
          <w:u w:val="single"/>
        </w:rPr>
      </w:pPr>
      <w:r>
        <w:rPr>
          <w:rFonts w:hint="eastAsia" w:ascii="宋体" w:hAnsi="宋体" w:eastAsia="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   身份证明</w:t>
      </w:r>
      <w:r/>
    </w:p>
    <w:p>
      <w:pPr>
        <w:jc w:val="center"/>
        <w:spacing w:before="180"/>
        <w:widowControl/>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0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二、上一年度的财务状况报告</w:t>
      </w:r>
      <w:r/>
    </w:p>
    <w:p>
      <w:pPr>
        <w:jc w:val="center"/>
        <w:keepLines w:val="0"/>
        <w:keepNext w:val="0"/>
        <w:pageBreakBefore w:val="0"/>
        <w:spacing w:line="500" w:lineRule="exact"/>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p>
    <w:p>
      <w:pPr>
        <w:pStyle w:val="804"/>
        <w:ind w:firstLine="492"/>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before="180" w:afterAutospacing="0" w:line="5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三、具备履行合同所必需的设备和专业技术能力的书面声明</w:t>
      </w:r>
      <w:r/>
    </w:p>
    <w:p>
      <w:pPr>
        <w:pStyle w:val="804"/>
        <w:ind w:firstLine="480"/>
        <w:jc w:val="both"/>
        <w:keepLines w:val="0"/>
        <w:keepNext w:val="0"/>
        <w:pageBreakBefore w:val="0"/>
        <w:spacing w:before="0" w:after="0" w:afterAutospacing="0"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804"/>
        <w:ind w:firstLine="480"/>
        <w:jc w:val="both"/>
        <w:keepLines w:val="0"/>
        <w:keepNext w:val="0"/>
        <w:pageBreakBefore w:val="0"/>
        <w:spacing w:before="0" w:after="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04"/>
        <w:ind w:firstLine="480"/>
        <w:jc w:val="both"/>
        <w:keepLines w:val="0"/>
        <w:keepNext w:val="0"/>
        <w:pageBreakBefore w:val="0"/>
        <w:spacing w:before="0" w:after="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804"/>
        <w:ind w:firstLine="492"/>
        <w:jc w:val="center"/>
        <w:widowControl/>
        <w:rPr>
          <w:rFonts w:hint="eastAsia" w:ascii="方正小标宋_GBK" w:hAnsi="宋体" w:eastAsia="方正小标宋_GBK" w:cs="宋体"/>
          <w:iCs/>
          <w:color w:val="auto"/>
          <w:sz w:val="24"/>
          <w:szCs w:val="24"/>
          <w:highlight w:val="none"/>
        </w:rPr>
      </w:pPr>
      <w:r>
        <w:rPr>
          <w:rFonts w:hint="eastAsia" w:ascii="方正小标宋_GBK" w:hAnsi="宋体" w:eastAsia="方正小标宋_GBK" w:cs="宋体"/>
          <w:iCs/>
          <w:color w:val="auto"/>
          <w:sz w:val="24"/>
          <w:szCs w:val="24"/>
          <w:highlight w:val="none"/>
        </w:rPr>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before="180" w:afterAutospacing="0" w:line="5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四、依法缴纳税收和社会保障资金的相关材料</w:t>
      </w:r>
      <w:r/>
    </w:p>
    <w:p>
      <w:pPr>
        <w:pStyle w:val="804"/>
        <w:ind w:firstLine="480"/>
        <w:jc w:val="both"/>
        <w:keepLines w:val="0"/>
        <w:keepNext w:val="0"/>
        <w:pageBreakBefore w:val="0"/>
        <w:spacing w:before="0" w:after="0" w:afterAutospacing="0"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804"/>
        <w:ind w:firstLine="492"/>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五、参加政府采购活动前3年内在经营活动中没有重大违法 记录的书面声明</w:t>
      </w:r>
      <w:r/>
    </w:p>
    <w:p>
      <w:pPr>
        <w:pStyle w:val="804"/>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804"/>
        <w:ind w:firstLine="480"/>
        <w:jc w:val="both"/>
        <w:spacing w:before="0"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年内，我单位在经营活动中没有因违法经营受到刑事处罚或者责令停产停业、吊销许可证或者执照、较大数额罚款等行政处罚。</w:t>
      </w:r>
      <w:r/>
    </w:p>
    <w:p>
      <w:pPr>
        <w:pStyle w:val="804"/>
        <w:ind w:firstLine="492"/>
        <w:jc w:val="both"/>
        <w:spacing w:line="5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pStyle w:val="990"/>
        <w:numPr>
          <w:ilvl w:val="0"/>
          <w:numId w:val="0"/>
        </w:numPr>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六、单位负责人为同一人或者存在直接控股、管理关系的不同供应商，不得参加同一合同项下的政府采购活动</w:t>
      </w:r>
      <w:r/>
    </w:p>
    <w:p>
      <w:pPr>
        <w:pStyle w:val="804"/>
        <w:jc w:val="center"/>
        <w:widowControl/>
        <w:rPr>
          <w:rFonts w:hint="eastAsia"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990"/>
        <w:ind w:firstLine="482"/>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804"/>
        <w:jc w:val="center"/>
        <w:spacing w:beforeAutospacing="0" w:afterAutospacing="0"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04"/>
        <w:jc w:val="center"/>
        <w:spacing w:beforeAutospacing="0" w:afterAutospacing="0"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04"/>
        <w:jc w:val="center"/>
        <w:spacing w:beforeAutospacing="0" w:afterAutospacing="0"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76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jc w:val="left"/>
        <w:widowControl/>
        <w:rPr>
          <w:rFonts w:hint="eastAsia" w:cs="Times New Roman" w:asciiTheme="minorEastAsia" w:hAnsiTheme="minorEastAsia"/>
          <w:color w:val="auto"/>
          <w:sz w:val="32"/>
          <w:szCs w:val="32"/>
          <w:highlight w:val="none"/>
        </w:rPr>
      </w:pPr>
      <w:r>
        <w:rPr>
          <w:rFonts w:asciiTheme="minorEastAsia" w:hAnsiTheme="minorEastAsia"/>
          <w:color w:val="auto"/>
          <w:highlight w:val="none"/>
        </w:rPr>
        <w:br w:type="page" w:clear="all"/>
      </w:r>
      <w:r/>
    </w:p>
    <w:p>
      <w:pPr>
        <w:numPr>
          <w:ilvl w:val="0"/>
          <w:numId w:val="0"/>
        </w:numPr>
        <w:jc w:val="center"/>
        <w:keepLines w:val="0"/>
        <w:keepNext w:val="0"/>
        <w:pageBreakBefore w:val="0"/>
        <w:spacing w:before="180" w:afterAutospacing="0" w:line="4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七、特定资格要求的证明文件</w:t>
      </w:r>
      <w:r/>
    </w:p>
    <w:p>
      <w:pPr>
        <w:numPr>
          <w:ilvl w:val="0"/>
          <w:numId w:val="0"/>
        </w:numPr>
        <w:jc w:val="center"/>
        <w:keepLines w:val="0"/>
        <w:keepNext w:val="0"/>
        <w:pageBreakBefore w:val="0"/>
        <w:spacing w:before="18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如果本项目申请人的特定资格要求中要求提供的，必须提供。</w:t>
      </w:r>
      <w:r/>
    </w:p>
    <w:p>
      <w:pPr>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br w:type="page" w:clear="all"/>
      </w:r>
      <w:r/>
    </w:p>
    <w:p>
      <w:pPr>
        <w:numPr>
          <w:ilvl w:val="0"/>
          <w:numId w:val="0"/>
        </w:numPr>
        <w:jc w:val="center"/>
        <w:keepLines w:val="0"/>
        <w:keepNext w:val="0"/>
        <w:pageBreakBefore w:val="0"/>
        <w:spacing w:before="180" w:afterAutospacing="0" w:line="4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八、法人授权书</w:t>
      </w:r>
      <w:r/>
    </w:p>
    <w:p>
      <w:pPr>
        <w:pStyle w:val="804"/>
        <w:ind w:firstLine="480"/>
        <w:jc w:val="both"/>
        <w:spacing w:before="0" w:after="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（被授权人的姓名）为我方就</w:t>
      </w:r>
      <w:r>
        <w:rPr>
          <w:rFonts w:hint="eastAsia" w:ascii="宋体" w:hAnsi="宋体" w:eastAsia="宋体" w:cs="宋体"/>
          <w:color w:val="auto"/>
          <w:sz w:val="24"/>
          <w:szCs w:val="24"/>
          <w:highlight w:val="none"/>
          <w:u w:val="single"/>
        </w:rPr>
        <w:t xml:space="preserve">JSZC-320900-JZCG-G2025-005</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lang w:eastAsia="zh-CN"/>
        </w:rPr>
        <w:t xml:space="preserve">盐城市第一人民医院</w:t>
      </w:r>
      <w:r>
        <w:rPr>
          <w:rFonts w:hint="eastAsia" w:ascii="宋体" w:hAnsi="宋体" w:eastAsia="宋体" w:cs="宋体"/>
          <w:color w:val="auto"/>
          <w:sz w:val="24"/>
          <w:szCs w:val="24"/>
          <w:highlight w:val="none"/>
          <w:u w:val="single"/>
          <w:lang w:val="en-US" w:eastAsia="zh-CN"/>
        </w:rPr>
        <w:t xml:space="preserve">五官科</w:t>
      </w:r>
      <w:r>
        <w:rPr>
          <w:rFonts w:hint="eastAsia" w:ascii="宋体" w:hAnsi="宋体" w:eastAsia="宋体" w:cs="宋体"/>
          <w:color w:val="auto"/>
          <w:sz w:val="24"/>
          <w:szCs w:val="24"/>
          <w:highlight w:val="none"/>
          <w:u w:val="single"/>
          <w:lang w:eastAsia="zh-CN"/>
        </w:rPr>
        <w:t xml:space="preserve">医院物业服务项目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990"/>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990"/>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990"/>
        <w:ind w:firstLine="480"/>
        <w:jc w:val="both"/>
        <w:spacing w:beforeAutospacing="0" w:afterAutospacing="0" w:line="500" w:lineRule="exact"/>
        <w:tabs>
          <w:tab w:val="left" w:pos="36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被授权人联系电话：</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（手机）        </w:t>
      </w:r>
      <w:r>
        <w:rPr>
          <w:rFonts w:hint="eastAsia" w:ascii="宋体" w:hAnsi="宋体" w:eastAsia="宋体" w:cs="宋体"/>
          <w:color w:val="auto"/>
          <w:highlight w:val="none"/>
          <w:u w:val="single"/>
          <w:lang w:val="en-US" w:eastAsia="zh-CN"/>
        </w:rPr>
        <w:t xml:space="preserve"> </w:t>
      </w:r>
      <w:r/>
    </w:p>
    <w:p>
      <w:pPr>
        <w:pStyle w:val="990"/>
        <w:ind w:firstLine="480"/>
        <w:jc w:val="both"/>
        <w:spacing w:beforeAutospacing="0" w:afterAutospacing="0" w:line="500" w:lineRule="exact"/>
        <w:tabs>
          <w:tab w:val="left" w:pos="36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（加盖CA电子公章）</w:t>
      </w:r>
      <w:r>
        <w:rPr>
          <w:rFonts w:hint="eastAsia" w:ascii="宋体" w:hAnsi="宋体" w:eastAsia="宋体" w:cs="宋体"/>
          <w:color w:val="auto"/>
          <w:highlight w:val="none"/>
          <w:u w:val="single"/>
          <w:lang w:val="en-US" w:eastAsia="zh-CN"/>
        </w:rPr>
        <w:t xml:space="preserve">      </w:t>
      </w:r>
      <w:r/>
    </w:p>
    <w:p>
      <w:pPr>
        <w:pStyle w:val="990"/>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990"/>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黑体" w:hAnsi="黑体" w:eastAsia="黑体" w:cs="黑体"/>
          <w:i/>
          <w:color w:val="auto"/>
          <w:sz w:val="32"/>
          <w:szCs w:val="32"/>
          <w:highlight w:val="none"/>
          <w:u w:val="single"/>
          <w:lang w:val="en-US" w:eastAsia="zh-CN" w:bidi="ar-SA"/>
        </w:rPr>
        <w:br w:type="page" w:clear="all"/>
      </w:r>
      <w:r>
        <w:rPr>
          <w:rFonts w:hint="eastAsia" w:ascii="宋体" w:hAnsi="宋体" w:eastAsia="宋体" w:cs="宋体"/>
          <w:color w:val="auto"/>
          <w:highlight w:val="none"/>
        </w:rPr>
      </w:r>
      <w:r/>
    </w:p>
    <w:p>
      <w:pPr>
        <w:numPr>
          <w:ilvl w:val="0"/>
          <w:numId w:val="0"/>
        </w:numPr>
        <w:jc w:val="center"/>
        <w:keepLines w:val="0"/>
        <w:keepNext w:val="0"/>
        <w:pageBreakBefore w:val="0"/>
        <w:spacing w:before="180" w:afterAutospacing="0" w:line="4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九、投标函</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致：盐城市政府采购中心</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根据贵方的</w:t>
      </w:r>
      <w:r>
        <w:rPr>
          <w:rFonts w:hint="eastAsia" w:ascii="宋体" w:hAnsi="宋体" w:eastAsia="宋体" w:cs="宋体"/>
          <w:color w:val="auto"/>
          <w:sz w:val="24"/>
          <w:highlight w:val="none"/>
          <w:u w:val="single"/>
        </w:rPr>
        <w:t xml:space="preserve">JSZC-320900-JZCG-G2025-</w:t>
      </w:r>
      <w:r>
        <w:rPr>
          <w:rFonts w:hint="eastAsia" w:ascii="宋体" w:hAnsi="宋体" w:eastAsia="宋体" w:cs="宋体"/>
          <w:color w:val="auto"/>
          <w:sz w:val="24"/>
          <w:highlight w:val="none"/>
          <w:u w:val="single"/>
          <w:lang w:val="en-US" w:eastAsia="zh-CN"/>
        </w:rPr>
        <w:t xml:space="preserve">0057</w:t>
      </w:r>
      <w:r>
        <w:rPr>
          <w:rFonts w:hint="eastAsia" w:ascii="宋体" w:hAnsi="宋体" w:eastAsia="宋体" w:cs="宋体"/>
          <w:color w:val="auto"/>
          <w:sz w:val="24"/>
          <w:highlight w:val="none"/>
        </w:rPr>
        <w:t xml:space="preserve">号招标文件，正式授权下述签</w:t>
      </w:r>
      <w:r>
        <w:rPr>
          <w:rFonts w:hint="eastAsia" w:ascii="宋体" w:hAnsi="宋体" w:eastAsia="宋体" w:cs="宋体"/>
          <w:color w:val="auto"/>
          <w:sz w:val="24"/>
          <w:highlight w:val="none"/>
          <w:lang w:val="en-US" w:eastAsia="zh-CN"/>
        </w:rPr>
        <w:t xml:space="preserve">字</w:t>
      </w:r>
      <w:r>
        <w:rPr>
          <w:rFonts w:hint="eastAsia" w:ascii="宋体" w:hAnsi="宋体" w:eastAsia="宋体" w:cs="宋体"/>
          <w:color w:val="auto"/>
          <w:sz w:val="24"/>
          <w:highlight w:val="none"/>
        </w:rPr>
        <w:t xml:space="preserve">人</w:t>
      </w:r>
      <w:r/>
    </w:p>
    <w:p>
      <w:pPr>
        <w:jc w:val="left"/>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(姓名)代表我方______________（投标人的名称），全权处理本次项目投标的有关事宜。</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据此函，__________签字人兹宣布同意如下：</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1.按招标文件规定的各项要求，向买方提供所需服务（包含与服务相关的货物）。</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2.我们完全理解贵方不一定将合同授予最低报价的投标人。</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6.一旦我方中标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我方将根据招标文件的规定，严格履行合同的责任和义务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并保证在招标文件规定的时间完成项目，交付买方验收、使用。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7.与本投标有关的正式通讯地址为：</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址：</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编：</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话：</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真：</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号： </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期：______年____月____日</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Cs/>
          <w:iCs/>
          <w:color w:val="auto"/>
          <w:sz w:val="32"/>
          <w:szCs w:val="32"/>
          <w:highlight w:val="none"/>
        </w:rPr>
      </w:pPr>
      <w:r>
        <w:rPr>
          <w:rFonts w:hint="eastAsia" w:ascii="宋体" w:hAnsi="宋体" w:eastAsia="宋体" w:cs="宋体"/>
          <w:bCs/>
          <w:iCs/>
          <w:color w:val="auto"/>
          <w:sz w:val="32"/>
          <w:szCs w:val="32"/>
          <w:highlight w:val="none"/>
        </w:rPr>
        <w:br w:type="page" w:clear="all"/>
      </w:r>
      <w:r/>
    </w:p>
    <w:p>
      <w:pPr>
        <w:numPr>
          <w:ilvl w:val="0"/>
          <w:numId w:val="0"/>
        </w:numPr>
        <w:jc w:val="center"/>
        <w:keepLines w:val="0"/>
        <w:keepNext w:val="0"/>
        <w:pageBreakBefore w:val="0"/>
        <w:spacing w:before="180" w:afterAutospacing="0" w:line="4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十、中小企业声明函（服务）</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lang w:eastAsia="zh-CN"/>
        </w:rPr>
        <w:t xml:space="preserve">〔2020〕46号</w:t>
      </w:r>
      <w:r>
        <w:rPr>
          <w:rFonts w:ascii="宋体" w:hAnsi="宋体" w:cs="宋体"/>
          <w:color w:val="auto"/>
          <w:sz w:val="24"/>
          <w:highlight w:val="none"/>
        </w:rPr>
        <w:t xml:space="preserve">)的规定，本公司（联合体）参加盐城市政府采购中心组织的</w:t>
      </w:r>
      <w:r>
        <w:rPr>
          <w:rFonts w:hint="eastAsia" w:ascii="宋体" w:hAnsi="宋体" w:eastAsia="宋体" w:cs="宋体"/>
          <w:color w:val="auto"/>
          <w:sz w:val="24"/>
          <w:szCs w:val="24"/>
          <w:highlight w:val="none"/>
          <w:u w:val="single"/>
          <w:lang w:eastAsia="zh-CN"/>
        </w:rPr>
        <w:t xml:space="preserve">盐城市第一人民医院</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JSZC-320900-JZCG-G2025-005</w:t>
      </w:r>
      <w:r>
        <w:rPr>
          <w:rFonts w:hint="eastAsia" w:ascii="宋体" w:hAnsi="宋体" w:cs="宋体"/>
          <w:color w:val="auto"/>
          <w:sz w:val="24"/>
          <w:highlight w:val="none"/>
          <w:u w:val="single"/>
          <w:lang w:val="en-US" w:eastAsia="zh-CN"/>
        </w:rPr>
        <w:t xml:space="preserve">7</w:t>
      </w:r>
      <w:r>
        <w:rPr>
          <w:rFonts w:ascii="宋体" w:hAnsi="宋体" w:cs="宋体"/>
          <w:color w:val="auto"/>
          <w:sz w:val="24"/>
          <w:highlight w:val="none"/>
        </w:rPr>
        <w:t xml:space="preserve">，</w:t>
      </w:r>
      <w:r>
        <w:rPr>
          <w:rFonts w:hint="eastAsia" w:ascii="宋体" w:hAnsi="宋体" w:eastAsia="宋体" w:cs="宋体"/>
          <w:color w:val="auto"/>
          <w:sz w:val="24"/>
          <w:szCs w:val="24"/>
          <w:highlight w:val="none"/>
          <w:u w:val="single"/>
          <w:lang w:eastAsia="zh-CN"/>
        </w:rPr>
        <w:t xml:space="preserve">盐城市第一人民医院</w:t>
      </w:r>
      <w:r>
        <w:rPr>
          <w:rFonts w:hint="eastAsia" w:ascii="宋体" w:hAnsi="宋体" w:eastAsia="宋体" w:cs="宋体"/>
          <w:color w:val="auto"/>
          <w:sz w:val="24"/>
          <w:szCs w:val="24"/>
          <w:highlight w:val="none"/>
          <w:u w:val="single"/>
          <w:lang w:val="en-US" w:eastAsia="zh-CN"/>
        </w:rPr>
        <w:t xml:space="preserve">五官科</w:t>
      </w:r>
      <w:r>
        <w:rPr>
          <w:rFonts w:hint="eastAsia" w:ascii="宋体" w:hAnsi="宋体" w:eastAsia="宋体" w:cs="宋体"/>
          <w:color w:val="auto"/>
          <w:sz w:val="24"/>
          <w:szCs w:val="24"/>
          <w:highlight w:val="none"/>
          <w:u w:val="single"/>
          <w:lang w:eastAsia="zh-CN"/>
        </w:rPr>
        <w:t xml:space="preserve">医院物业服务项目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ascii="Times New Roman" w:hAnsi="Times New Roman" w:eastAsia="方正楷体_GBK" w:cs="黑体"/>
          <w:i/>
          <w:color w:val="auto"/>
          <w:sz w:val="34"/>
          <w:szCs w:val="32"/>
          <w:u w:val="single"/>
        </w:rPr>
      </w:pPr>
      <w:r>
        <w:rPr>
          <w:rFonts w:ascii="Times New Roman" w:hAnsi="Times New Roman" w:eastAsia="方正小标宋_GBK"/>
          <w:bCs/>
          <w:color w:val="auto"/>
          <w:sz w:val="32"/>
          <w:szCs w:val="32"/>
        </w:rPr>
        <w:br w:type="page" w:clear="all"/>
      </w:r>
      <w:r/>
    </w:p>
    <w:p>
      <w:pPr>
        <w:pStyle w:val="990"/>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十一、残疾人福利性单位声明函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w:t>
      </w:r>
      <w:r>
        <w:rPr>
          <w:rFonts w:hint="eastAsia" w:ascii="宋体" w:hAnsi="宋体" w:eastAsia="宋体" w:cs="宋体"/>
          <w:color w:val="auto"/>
          <w:sz w:val="24"/>
          <w:highlight w:val="none"/>
          <w:u w:val="single"/>
          <w:lang w:eastAsia="zh-CN"/>
        </w:rPr>
        <w:t xml:space="preserve">盐城市第一人民医院</w:t>
      </w:r>
      <w:r>
        <w:rPr>
          <w:rFonts w:hint="eastAsia" w:ascii="宋体" w:hAnsi="宋体" w:eastAsia="宋体" w:cs="宋体"/>
          <w:color w:val="auto"/>
          <w:sz w:val="24"/>
          <w:highlight w:val="none"/>
        </w:rPr>
        <w:t xml:space="preserve">单位的采购文件编号为</w:t>
      </w:r>
      <w:r>
        <w:rPr>
          <w:rFonts w:hint="eastAsia" w:ascii="宋体" w:hAnsi="宋体" w:eastAsia="宋体" w:cs="宋体"/>
          <w:color w:val="auto"/>
          <w:sz w:val="24"/>
          <w:highlight w:val="none"/>
          <w:u w:val="single"/>
        </w:rPr>
        <w:t xml:space="preserve">JSZC-320900-JZCG-G2025-</w:t>
      </w:r>
      <w:r>
        <w:rPr>
          <w:rFonts w:hint="eastAsia" w:ascii="宋体" w:hAnsi="宋体" w:cs="宋体"/>
          <w:color w:val="auto"/>
          <w:sz w:val="24"/>
          <w:highlight w:val="none"/>
          <w:u w:val="single"/>
          <w:lang w:val="en-US" w:eastAsia="zh-CN"/>
        </w:rPr>
        <w:t xml:space="preserve">0057</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0"/>
          <w:highlight w:val="none"/>
          <w:u w:val="single"/>
          <w:lang w:eastAsia="zh-CN"/>
        </w:rPr>
        <w:t xml:space="preserve">盐城市第一人民医院</w:t>
      </w:r>
      <w:r>
        <w:rPr>
          <w:rFonts w:hint="eastAsia" w:ascii="宋体" w:hAnsi="宋体" w:cs="宋体"/>
          <w:color w:val="auto"/>
          <w:sz w:val="24"/>
          <w:szCs w:val="20"/>
          <w:highlight w:val="none"/>
          <w:u w:val="single"/>
          <w:lang w:val="en-US" w:eastAsia="zh-CN"/>
        </w:rPr>
        <w:t xml:space="preserve">五官科</w:t>
      </w:r>
      <w:r>
        <w:rPr>
          <w:rFonts w:hint="eastAsia" w:ascii="宋体" w:hAnsi="宋体" w:eastAsia="宋体" w:cs="宋体"/>
          <w:color w:val="auto"/>
          <w:sz w:val="24"/>
          <w:szCs w:val="20"/>
          <w:highlight w:val="none"/>
          <w:u w:val="single"/>
          <w:lang w:eastAsia="zh-CN"/>
        </w:rPr>
        <w:t xml:space="preserve">医院物业服务项目</w:t>
      </w:r>
      <w:r>
        <w:rPr>
          <w:rFonts w:hint="eastAsia" w:ascii="宋体" w:hAnsi="宋体" w:eastAsia="宋体" w:cs="宋体"/>
          <w:color w:val="auto"/>
          <w:sz w:val="24"/>
          <w:highlight w:val="none"/>
        </w:rPr>
        <w:t xml:space="preserve">采购活动由本单位提供服务。</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righ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企业名称（加盖CA电子公章）：</w:t>
      </w:r>
      <w:r/>
    </w:p>
    <w:p>
      <w:pPr>
        <w:ind w:firstLine="480"/>
        <w:jc w:val="righ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990"/>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十二、投标分项报价表</w:t>
      </w:r>
      <w:r/>
    </w:p>
    <w:tbl>
      <w:tblPr>
        <w:tblStyle w:val="782"/>
        <w:tblW w:w="8687" w:type="dxa"/>
        <w:tblInd w:w="86" w:type="dxa"/>
        <w:tblLayout w:type="fixed"/>
        <w:tblCellMar>
          <w:left w:w="108" w:type="dxa"/>
          <w:top w:w="0" w:type="dxa"/>
          <w:right w:w="108" w:type="dxa"/>
          <w:bottom w:w="0" w:type="dxa"/>
        </w:tblCellMar>
        <w:tblLook w:val="04A0" w:firstRow="1" w:lastRow="0" w:firstColumn="1" w:lastColumn="0" w:noHBand="0" w:noVBand="1"/>
      </w:tblPr>
      <w:tblGrid>
        <w:gridCol w:w="737"/>
        <w:gridCol w:w="1363"/>
        <w:gridCol w:w="887"/>
        <w:gridCol w:w="900"/>
        <w:gridCol w:w="1038"/>
        <w:gridCol w:w="1137"/>
        <w:gridCol w:w="2625"/>
      </w:tblGrid>
      <w:tr>
        <w:trPr>
          <w:trHeight w:val="536"/>
        </w:trPr>
        <w:tc>
          <w:tcPr>
            <w:gridSpan w:val="7"/>
            <w:shd w:val="clear" w:color="auto" w:fill="auto"/>
            <w:tcBorders>
              <w:top w:val="none" w:color="000000" w:sz="4" w:space="0"/>
              <w:left w:val="none" w:color="000000" w:sz="4" w:space="0"/>
              <w:bottom w:val="none" w:color="000000" w:sz="4" w:space="0"/>
              <w:right w:val="none" w:color="000000" w:sz="4" w:space="0"/>
            </w:tcBorders>
            <w:tcW w:w="8687" w:type="dxa"/>
            <w:vAlign w:val="center"/>
            <w:textDirection w:val="lrTb"/>
            <w:noWrap/>
          </w:tcPr>
          <w:p>
            <w:pPr>
              <w:ind w:firstLine="562"/>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rPr>
              <w:t xml:space="preserve">盐城市</w:t>
            </w:r>
            <w:r>
              <w:rPr>
                <w:rFonts w:hint="eastAsia" w:ascii="宋体" w:hAnsi="宋体" w:eastAsia="宋体" w:cs="宋体"/>
                <w:b/>
                <w:bCs/>
                <w:color w:val="auto"/>
                <w:sz w:val="28"/>
                <w:szCs w:val="28"/>
                <w:highlight w:val="none"/>
                <w:lang w:val="en-US" w:eastAsia="zh-CN"/>
              </w:rPr>
              <w:t xml:space="preserve">第一人民医院五官科医院</w:t>
            </w:r>
            <w:r>
              <w:rPr>
                <w:rFonts w:hint="eastAsia" w:ascii="宋体" w:hAnsi="宋体" w:eastAsia="宋体" w:cs="宋体"/>
                <w:b/>
                <w:bCs/>
                <w:color w:val="auto"/>
                <w:sz w:val="28"/>
                <w:szCs w:val="28"/>
                <w:highlight w:val="none"/>
              </w:rPr>
              <w:t xml:space="preserve">物业服务项目投标分项报价表</w:t>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费用名称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单价</w:t>
            </w:r>
            <w:r/>
          </w:p>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总价（元/12个月）</w:t>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117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所有人员工资</w:t>
            </w:r>
            <w:r>
              <w:rPr>
                <w:rFonts w:hint="eastAsia" w:ascii="宋体" w:hAnsi="宋体" w:eastAsia="宋体" w:cs="宋体"/>
                <w:color w:val="auto"/>
                <w:sz w:val="24"/>
                <w:szCs w:val="24"/>
                <w:highlight w:val="none"/>
                <w:lang w:eastAsia="zh-CN"/>
              </w:rPr>
              <w:t xml:space="preserve">单价</w:t>
            </w:r>
            <w:r>
              <w:rPr>
                <w:rFonts w:hint="eastAsia" w:ascii="宋体" w:hAnsi="宋体" w:eastAsia="宋体" w:cs="宋体"/>
                <w:color w:val="auto"/>
                <w:sz w:val="24"/>
                <w:szCs w:val="24"/>
                <w:highlight w:val="none"/>
              </w:rPr>
              <w:t xml:space="preserve">不低于本市最低工资标准2260元/人/每月</w:t>
            </w:r>
            <w:r>
              <w:rPr>
                <w:rFonts w:hint="eastAsia" w:ascii="宋体" w:hAnsi="宋体" w:cs="宋体"/>
                <w:color w:val="auto"/>
                <w:sz w:val="24"/>
                <w:szCs w:val="24"/>
                <w:highlight w:val="none"/>
                <w:lang w:eastAsia="zh-CN"/>
              </w:rPr>
              <w:t xml:space="preserve">。</w:t>
            </w:r>
            <w:r/>
          </w:p>
        </w:tc>
      </w:tr>
      <w:tr>
        <w:trPr>
          <w:trHeight w:val="412"/>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8"/>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门诊保洁、医技楼保洁</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8"/>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住院部保洁、手术室、外围</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医技</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8"/>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陪检运送（含药房）</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氧气班</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tabs>
                <w:tab w:val="left" w:pos="201"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医废</w:t>
            </w:r>
            <w:r>
              <w:rPr>
                <w:rFonts w:hint="eastAsia" w:ascii="宋体" w:hAnsi="宋体" w:cs="宋体"/>
                <w:i w:val="0"/>
                <w:iCs w:val="0"/>
                <w:color w:val="auto"/>
                <w:sz w:val="24"/>
                <w:szCs w:val="24"/>
                <w:highlight w:val="none"/>
                <w:u w:val="none"/>
                <w:lang w:val="en-US" w:eastAsia="zh-CN"/>
              </w:rPr>
              <w:t xml:space="preserve">收集</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水电工</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门诊导医</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收费窗口</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行政楼</w:t>
            </w:r>
            <w:r>
              <w:rPr>
                <w:rFonts w:hint="eastAsia" w:ascii="宋体" w:hAnsi="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lang w:val="en-US" w:eastAsia="zh-CN"/>
              </w:rPr>
              <w:t xml:space="preserve">文员</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人员工资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所有人员必须足额缴纳社保费用，社保（企业部分）不得低于</w:t>
            </w:r>
            <w:r>
              <w:rPr>
                <w:rFonts w:hint="eastAsia" w:ascii="宋体" w:hAnsi="宋体" w:eastAsia="宋体" w:cs="宋体"/>
                <w:color w:val="auto"/>
                <w:sz w:val="24"/>
                <w:szCs w:val="24"/>
                <w:highlight w:val="none"/>
                <w:lang w:val="en-US" w:eastAsia="zh-CN"/>
              </w:rPr>
              <w:t xml:space="preserve">1292.47</w:t>
            </w:r>
            <w:r>
              <w:rPr>
                <w:rFonts w:hint="eastAsia" w:ascii="宋体" w:hAnsi="宋体" w:eastAsia="宋体" w:cs="宋体"/>
                <w:color w:val="auto"/>
                <w:sz w:val="24"/>
                <w:szCs w:val="24"/>
                <w:highlight w:val="none"/>
              </w:rPr>
              <w:t xml:space="preserve">元/人/每月</w:t>
            </w:r>
            <w:r>
              <w:rPr>
                <w:rFonts w:hint="eastAsia" w:ascii="宋体" w:hAnsi="宋体" w:eastAsia="宋体" w:cs="宋体"/>
                <w:color w:val="auto"/>
                <w:sz w:val="24"/>
                <w:szCs w:val="24"/>
                <w:highlight w:val="none"/>
                <w:lang w:eastAsia="zh-CN"/>
              </w:rPr>
              <w:t xml:space="preserve">。</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住房公积金不得低于</w:t>
            </w:r>
            <w:r>
              <w:rPr>
                <w:rFonts w:hint="eastAsia" w:ascii="宋体" w:hAnsi="宋体" w:eastAsia="宋体" w:cs="宋体"/>
                <w:color w:val="auto"/>
                <w:sz w:val="24"/>
                <w:szCs w:val="24"/>
                <w:highlight w:val="none"/>
                <w:lang w:val="en-US" w:eastAsia="zh-CN"/>
              </w:rPr>
              <w:t xml:space="preserve">114</w:t>
            </w:r>
            <w:r>
              <w:rPr>
                <w:rFonts w:hint="eastAsia" w:ascii="宋体" w:hAnsi="宋体" w:eastAsia="宋体" w:cs="宋体"/>
                <w:color w:val="auto"/>
                <w:sz w:val="24"/>
                <w:szCs w:val="24"/>
                <w:highlight w:val="none"/>
              </w:rPr>
              <w:t xml:space="preserve">元/人/每月</w:t>
            </w:r>
            <w:r>
              <w:rPr>
                <w:rFonts w:hint="eastAsia" w:ascii="宋体" w:hAnsi="宋体" w:eastAsia="宋体" w:cs="宋体"/>
                <w:color w:val="auto"/>
                <w:sz w:val="24"/>
                <w:szCs w:val="24"/>
                <w:highlight w:val="none"/>
                <w:lang w:eastAsia="zh-CN"/>
              </w:rPr>
              <w:t xml:space="preserve">。</w:t>
            </w:r>
            <w:r/>
          </w:p>
        </w:tc>
      </w:tr>
      <w:tr>
        <w:trPr>
          <w:trHeight w:val="1506"/>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特殊岗位津贴</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default" w:ascii="宋体" w:hAnsi="宋体" w:eastAsia="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default" w:ascii="宋体" w:hAnsi="宋体" w:eastAsia="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rPr>
              <w:t xml:space="preserve">特殊岗位补贴是除 2260元/人/月工资外的特殊补贴，该项目水电工</w:t>
            </w:r>
            <w:r>
              <w:rPr>
                <w:rFonts w:hint="eastAsia" w:ascii="宋体" w:hAnsi="宋体" w:eastAsia="宋体" w:cs="宋体"/>
                <w:color w:val="auto"/>
                <w:sz w:val="24"/>
                <w:szCs w:val="24"/>
                <w:highlight w:val="none"/>
                <w:lang w:val="en-US" w:eastAsia="zh-CN"/>
              </w:rPr>
              <w:t xml:space="preserve">等特殊工种</w:t>
            </w:r>
            <w:r>
              <w:rPr>
                <w:rFonts w:hint="eastAsia" w:ascii="宋体" w:hAnsi="宋体" w:eastAsia="宋体" w:cs="宋体"/>
                <w:color w:val="auto"/>
                <w:sz w:val="24"/>
                <w:szCs w:val="24"/>
                <w:highlight w:val="none"/>
              </w:rPr>
              <w:t xml:space="preserve">共</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人，特殊岗位补贴1000元/人/月</w:t>
            </w:r>
            <w:r>
              <w:rPr>
                <w:rFonts w:hint="eastAsia" w:ascii="宋体" w:hAnsi="宋体" w:eastAsia="宋体" w:cs="宋体"/>
                <w:color w:val="auto"/>
                <w:sz w:val="24"/>
                <w:szCs w:val="24"/>
                <w:highlight w:val="none"/>
                <w:lang w:eastAsia="zh-CN"/>
              </w:rPr>
              <w:t xml:space="preserve">。</w:t>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法定节假日加班费不得低于4052.41元/人/每年，</w:t>
            </w:r>
            <w:r>
              <w:rPr>
                <w:rFonts w:hint="eastAsia" w:ascii="宋体" w:hAnsi="宋体" w:eastAsia="宋体" w:cs="宋体"/>
                <w:color w:val="auto"/>
                <w:sz w:val="24"/>
                <w:szCs w:val="24"/>
                <w:highlight w:val="none"/>
                <w:lang w:val="en-US" w:eastAsia="zh-CN"/>
              </w:rPr>
              <w:t xml:space="preserve">人数</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人数加班计算。</w:t>
            </w:r>
            <w:r/>
          </w:p>
        </w:tc>
      </w:tr>
      <w:tr>
        <w:trPr>
          <w:trHeight w:val="908"/>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不得低于</w:t>
            </w:r>
            <w:r>
              <w:rPr>
                <w:rFonts w:hint="eastAsia" w:ascii="宋体" w:hAnsi="宋体" w:eastAsia="宋体" w:cs="宋体"/>
                <w:color w:val="auto"/>
                <w:sz w:val="24"/>
                <w:szCs w:val="24"/>
                <w:highlight w:val="none"/>
                <w:lang w:val="en-US" w:eastAsia="zh-CN"/>
              </w:rPr>
              <w:t xml:space="preserve">200</w:t>
            </w:r>
            <w:r>
              <w:rPr>
                <w:rFonts w:hint="eastAsia" w:ascii="宋体" w:hAnsi="宋体" w:eastAsia="宋体" w:cs="宋体"/>
                <w:color w:val="auto"/>
                <w:sz w:val="24"/>
                <w:szCs w:val="24"/>
                <w:highlight w:val="none"/>
              </w:rPr>
              <w:t xml:space="preserve">元/人/每年，</w:t>
            </w:r>
            <w:r>
              <w:rPr>
                <w:rFonts w:hint="eastAsia" w:ascii="宋体" w:hAnsi="宋体" w:eastAsia="宋体" w:cs="宋体"/>
                <w:color w:val="auto"/>
                <w:sz w:val="24"/>
                <w:szCs w:val="24"/>
                <w:highlight w:val="none"/>
                <w:lang w:val="en-US" w:eastAsia="zh-CN"/>
              </w:rPr>
              <w:t xml:space="preserve">人数</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人数计算。</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综合管理费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（一+二+三+四</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）*税</w:t>
            </w:r>
            <w:r>
              <w:rPr>
                <w:rFonts w:hint="eastAsia" w:ascii="宋体" w:hAnsi="宋体" w:eastAsia="宋体" w:cs="宋体"/>
                <w:color w:val="auto"/>
                <w:sz w:val="24"/>
                <w:szCs w:val="24"/>
                <w:highlight w:val="none"/>
                <w:lang w:val="en-US" w:eastAsia="zh-CN"/>
              </w:rPr>
              <w:t xml:space="preserve">金费率，</w:t>
            </w:r>
            <w:r>
              <w:rPr>
                <w:rFonts w:hint="eastAsia" w:ascii="宋体" w:hAnsi="宋体" w:eastAsia="宋体" w:cs="宋体"/>
                <w:color w:val="auto"/>
                <w:sz w:val="24"/>
                <w:szCs w:val="24"/>
                <w:highlight w:val="none"/>
              </w:rPr>
              <w:t xml:space="preserve">税</w:t>
            </w:r>
            <w:r>
              <w:rPr>
                <w:rFonts w:hint="eastAsia" w:ascii="宋体" w:hAnsi="宋体" w:eastAsia="宋体" w:cs="宋体"/>
                <w:color w:val="auto"/>
                <w:sz w:val="24"/>
                <w:szCs w:val="24"/>
                <w:highlight w:val="none"/>
                <w:lang w:val="en-US" w:eastAsia="zh-CN"/>
              </w:rPr>
              <w:t xml:space="preserve">金费率不得低于</w:t>
            </w:r>
            <w:r>
              <w:rPr>
                <w:rFonts w:hint="eastAsia" w:ascii="宋体" w:hAnsi="宋体" w:eastAsia="宋体" w:cs="宋体"/>
                <w:color w:val="auto"/>
                <w:sz w:val="24"/>
                <w:szCs w:val="24"/>
                <w:highlight w:val="none"/>
              </w:rPr>
              <w:t xml:space="preserve">6.72%</w:t>
            </w:r>
            <w:r>
              <w:rPr>
                <w:rFonts w:hint="eastAsia" w:ascii="宋体" w:hAnsi="宋体" w:eastAsia="宋体" w:cs="宋体"/>
                <w:color w:val="auto"/>
                <w:sz w:val="24"/>
                <w:szCs w:val="24"/>
                <w:highlight w:val="none"/>
                <w:lang w:eastAsia="zh-CN"/>
              </w:rPr>
              <w:t xml:space="preserve">。</w:t>
            </w:r>
            <w:r/>
          </w:p>
        </w:tc>
      </w:tr>
      <w:tr>
        <w:trPr>
          <w:trHeight w:val="641"/>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both"/>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总价（元）=（一+二+</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八</w:t>
            </w:r>
            <w:r>
              <w:rPr>
                <w:rFonts w:hint="eastAsia" w:ascii="宋体" w:hAnsi="宋体" w:eastAsia="宋体" w:cs="宋体"/>
                <w:b w:val="0"/>
                <w:bCs w:val="0"/>
                <w:color w:val="auto"/>
                <w:sz w:val="24"/>
                <w:szCs w:val="24"/>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7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b/>
          <w:bCs w:val="0"/>
          <w:i/>
          <w:iCs/>
          <w:color w:val="auto"/>
          <w:sz w:val="24"/>
          <w:szCs w:val="24"/>
          <w:highlight w:val="none"/>
          <w:u w:val="single"/>
        </w:rPr>
        <w:t xml:space="preserve">注：投标人所提供人员的费用不得低于上述标准进行测算，否则视为未实质性响应招标文件要求</w:t>
      </w:r>
      <w:r>
        <w:rPr>
          <w:rFonts w:hint="eastAsia" w:ascii="宋体" w:hAnsi="宋体" w:eastAsia="宋体" w:cs="宋体"/>
          <w:b/>
          <w:i/>
          <w:iCs/>
          <w:color w:val="auto"/>
          <w:sz w:val="24"/>
          <w:szCs w:val="24"/>
          <w:highlight w:val="none"/>
        </w:rPr>
        <w:t xml:space="preserve">。</w:t>
      </w:r>
      <w:r>
        <w:rPr>
          <w:rFonts w:hint="eastAsia" w:ascii="宋体" w:hAnsi="宋体" w:eastAsia="宋体" w:cs="宋体"/>
          <w:b/>
          <w:color w:val="auto"/>
          <w:sz w:val="24"/>
          <w:szCs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90"/>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十三、技术要求响应及偏离表</w:t>
      </w:r>
      <w:r/>
    </w:p>
    <w:p>
      <w:pPr>
        <w:pStyle w:val="990"/>
        <w:jc w:val="both"/>
        <w:spacing w:beforeAutospacing="0" w:afterAutospacing="0"/>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82"/>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369" w:type="dxa"/>
            <w:vAlign w:val="center"/>
            <w:textDirection w:val="lrTb"/>
            <w:noWrap/>
          </w:tcPr>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240" w:type="dxa"/>
            <w:vAlign w:val="center"/>
            <w:textDirection w:val="lrTb"/>
            <w:noWrap/>
          </w:tcPr>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679" w:type="dxa"/>
            <w:vAlign w:val="center"/>
            <w:textDirection w:val="lrTb"/>
            <w:noWrap/>
          </w:tcPr>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679" w:type="dxa"/>
            <w:vAlign w:val="center"/>
            <w:textDirection w:val="lrTb"/>
            <w:noWrap/>
          </w:tcPr>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70"/>
        </w:trPr>
        <w:tc>
          <w:tcPr>
            <w:tcW w:w="81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9"/>
        </w:trPr>
        <w:tc>
          <w:tcPr>
            <w:tcW w:w="81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90"/>
              <w:ind w:firstLine="4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240"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90"/>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9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i/>
          <w:color w:val="auto"/>
          <w:sz w:val="32"/>
          <w:szCs w:val="32"/>
          <w:highlight w:val="none"/>
          <w:u w:val="single"/>
          <w:lang w:val="en-US" w:eastAsia="zh-CN" w:bidi="ar-SA"/>
        </w:rPr>
        <w:t xml:space="preserve">十四、商务要求响应及偏离表</w:t>
      </w:r>
      <w:r/>
    </w:p>
    <w:p>
      <w:pPr>
        <w:pStyle w:val="990"/>
        <w:jc w:val="both"/>
        <w:spacing w:beforeAutospacing="0" w:afterAutospacing="0"/>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82"/>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011" w:type="dxa"/>
            <w:vAlign w:val="center"/>
            <w:textDirection w:val="lrTb"/>
            <w:noWrap/>
          </w:tcPr>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04" w:type="dxa"/>
            <w:vAlign w:val="center"/>
            <w:textDirection w:val="lrTb"/>
            <w:noWrap/>
          </w:tcPr>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872" w:type="dxa"/>
            <w:vAlign w:val="center"/>
            <w:textDirection w:val="lrTb"/>
            <w:noWrap/>
          </w:tcPr>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813" w:type="dxa"/>
            <w:vAlign w:val="center"/>
            <w:textDirection w:val="lrTb"/>
            <w:noWrap/>
          </w:tcPr>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9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806"/>
        </w:trPr>
        <w:tc>
          <w:tcPr>
            <w:tcW w:w="777"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26"/>
        </w:trPr>
        <w:tc>
          <w:tcPr>
            <w:tcW w:w="777"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90"/>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9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90"/>
        <w:ind w:firstLine="60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jc w:val="center"/>
        <w:spacing w:beforeAutospacing="0" w:afterAutospacing="0" w:line="0" w:lineRule="atLeast"/>
        <w:rPr>
          <w:rFonts w:hint="eastAsia" w:ascii="宋体" w:hAnsi="宋体" w:eastAsia="宋体" w:cs="宋体"/>
          <w:bCs/>
          <w:color w:val="auto"/>
          <w:sz w:val="32"/>
          <w:szCs w:val="32"/>
          <w:highlight w:val="none"/>
        </w:rPr>
      </w:pPr>
      <w:r>
        <w:rPr>
          <w:rFonts w:hint="eastAsia" w:ascii="宋体" w:hAnsi="宋体" w:eastAsia="宋体" w:cs="宋体"/>
          <w:b/>
          <w:i/>
          <w:color w:val="auto"/>
          <w:sz w:val="32"/>
          <w:szCs w:val="32"/>
          <w:highlight w:val="none"/>
          <w:u w:val="single"/>
        </w:rPr>
        <w:br w:type="page" w:clear="all"/>
      </w:r>
      <w:r>
        <w:rPr>
          <w:rFonts w:hint="eastAsia" w:ascii="黑体" w:hAnsi="黑体" w:eastAsia="黑体" w:cs="黑体"/>
          <w:i/>
          <w:color w:val="auto"/>
          <w:sz w:val="32"/>
          <w:szCs w:val="32"/>
          <w:highlight w:val="none"/>
          <w:u w:val="single"/>
          <w:lang w:val="en-US" w:eastAsia="zh-CN" w:bidi="ar-SA"/>
        </w:rPr>
        <w:t xml:space="preserve">十五、开标一览表</w:t>
      </w:r>
      <w:r/>
    </w:p>
    <w:p>
      <w:pPr>
        <w:pStyle w:val="990"/>
        <w:ind w:firstLine="482"/>
        <w:jc w:val="both"/>
        <w:keepLines w:val="0"/>
        <w:keepNext w:val="0"/>
        <w:pageBreakBefore w:val="0"/>
        <w:spacing w:beforeAutospacing="0" w:afterAutospacing="0" w:line="500" w:lineRule="exact"/>
        <w:widowControl/>
        <w:rPr>
          <w:color w:val="auto"/>
          <w:highlight w:val="none"/>
        </w:rPr>
      </w:pPr>
      <w:r>
        <w:rPr>
          <w:rFonts w:hint="eastAsia"/>
          <w:color w:val="auto"/>
          <w:highlight w:val="none"/>
        </w:rPr>
        <w:t xml:space="preserve">投标人全称（加盖CA电子签章）：</w:t>
      </w:r>
      <w:r/>
    </w:p>
    <w:p>
      <w:pPr>
        <w:pStyle w:val="990"/>
        <w:ind w:firstLine="482"/>
        <w:jc w:val="both"/>
        <w:keepLines w:val="0"/>
        <w:keepNext w:val="0"/>
        <w:pageBreakBefore w:val="0"/>
        <w:spacing w:beforeAutospacing="0" w:afterAutospacing="0" w:line="500" w:lineRule="exact"/>
        <w:widowControl/>
        <w:rPr>
          <w:color w:val="auto"/>
          <w:highlight w:val="none"/>
        </w:rPr>
      </w:pPr>
      <w:r>
        <w:rPr>
          <w:rFonts w:hint="eastAsia"/>
          <w:color w:val="auto"/>
          <w:highlight w:val="none"/>
        </w:rPr>
        <w:t xml:space="preserve">项目名称：</w:t>
      </w:r>
      <w:r>
        <w:rPr>
          <w:rFonts w:hint="eastAsia"/>
          <w:color w:val="auto"/>
          <w:highlight w:val="none"/>
          <w:lang w:eastAsia="zh-CN"/>
        </w:rPr>
        <w:t xml:space="preserve">盐城市第一人民医院</w:t>
      </w:r>
      <w:r>
        <w:rPr>
          <w:rFonts w:hint="eastAsia"/>
          <w:color w:val="auto"/>
          <w:highlight w:val="none"/>
          <w:lang w:val="en-US" w:eastAsia="zh-CN"/>
        </w:rPr>
        <w:t xml:space="preserve">五官科</w:t>
      </w:r>
      <w:r>
        <w:rPr>
          <w:rFonts w:hint="eastAsia"/>
          <w:color w:val="auto"/>
          <w:highlight w:val="none"/>
          <w:lang w:eastAsia="zh-CN"/>
        </w:rPr>
        <w:t xml:space="preserve">医院物业服务项目</w:t>
      </w:r>
      <w:r/>
    </w:p>
    <w:p>
      <w:pPr>
        <w:pStyle w:val="990"/>
        <w:ind w:firstLine="482"/>
        <w:jc w:val="both"/>
        <w:keepLines w:val="0"/>
        <w:keepNext w:val="0"/>
        <w:pageBreakBefore w:val="0"/>
        <w:spacing w:beforeAutospacing="0" w:afterAutospacing="0" w:line="500" w:lineRule="exact"/>
        <w:widowControl/>
        <w:rPr>
          <w:rFonts w:hint="eastAsia"/>
          <w:color w:val="auto"/>
          <w:highlight w:val="none"/>
        </w:rPr>
      </w:pPr>
      <w:r>
        <w:rPr>
          <w:rFonts w:hint="eastAsia"/>
          <w:color w:val="auto"/>
          <w:highlight w:val="none"/>
        </w:rPr>
        <w:t xml:space="preserve">项目编号：JSZC-320900-JZCG-G2025-</w:t>
      </w:r>
      <w:r>
        <w:rPr>
          <w:rFonts w:hint="eastAsia"/>
          <w:color w:val="auto"/>
          <w:highlight w:val="none"/>
          <w:lang w:val="en-US" w:eastAsia="zh-CN"/>
        </w:rPr>
        <w:t xml:space="preserve">0057</w:t>
      </w:r>
      <w:r>
        <w:rPr>
          <w:rFonts w:hint="eastAsia"/>
          <w:color w:val="auto"/>
          <w:highlight w:val="none"/>
        </w:rPr>
        <w:t xml:space="preserve"> </w:t>
      </w:r>
      <w:r/>
    </w:p>
    <w:p>
      <w:pPr>
        <w:pStyle w:val="990"/>
        <w:ind w:firstLine="482"/>
        <w:jc w:val="both"/>
        <w:keepLines w:val="0"/>
        <w:keepNext w:val="0"/>
        <w:pageBreakBefore w:val="0"/>
        <w:spacing w:beforeAutospacing="0" w:afterAutospacing="0" w:line="500" w:lineRule="exact"/>
        <w:widowControl/>
        <w:rPr>
          <w:color w:val="auto"/>
          <w:highlight w:val="none"/>
        </w:rPr>
      </w:pPr>
      <w:r>
        <w:rPr>
          <w:rFonts w:hint="eastAsia"/>
          <w:color w:val="auto"/>
          <w:highlight w:val="none"/>
          <w:lang w:val="en-US" w:eastAsia="zh-CN"/>
        </w:rPr>
        <w:t xml:space="preserve">分包号：/</w:t>
      </w:r>
      <w:r>
        <w:rPr>
          <w:rFonts w:hint="eastAsia"/>
          <w:color w:val="auto"/>
          <w:highlight w:val="none"/>
        </w:rPr>
        <w:t xml:space="preserve">    </w:t>
      </w:r>
      <w:r/>
    </w:p>
    <w:tbl>
      <w:tblPr>
        <w:tblStyle w:val="782"/>
        <w:tblW w:w="8900"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tblCellSpacing w:w="0" w:type="dxa"/>
          <w:trHeight w:val="1158"/>
        </w:trPr>
        <w:tc>
          <w:tcPr>
            <w:tcW w:w="8900" w:type="dxa"/>
            <w:vAlign w:val="center"/>
            <w:textDirection w:val="lrTb"/>
            <w:noWrap/>
          </w:tcPr>
          <w:p>
            <w:pPr>
              <w:pStyle w:val="990"/>
              <w:jc w:val="center"/>
              <w:spacing w:beforeAutospacing="0" w:afterAutospacing="0" w:line="400" w:lineRule="exact"/>
              <w:rPr>
                <w:color w:val="auto"/>
                <w:highlight w:val="none"/>
              </w:rPr>
            </w:pPr>
            <w:r>
              <w:rPr>
                <w:rFonts w:hint="eastAsia"/>
                <w:color w:val="auto"/>
                <w:highlight w:val="none"/>
              </w:rPr>
              <w:t xml:space="preserve">投标总报价：</w:t>
            </w:r>
            <w:r/>
          </w:p>
        </w:tc>
      </w:tr>
      <w:tr>
        <w:trPr>
          <w:tblCellSpacing w:w="0" w:type="dxa"/>
          <w:trHeight w:val="1070"/>
        </w:trPr>
        <w:tc>
          <w:tcPr>
            <w:tcW w:w="8900" w:type="dxa"/>
            <w:vAlign w:val="center"/>
            <w:textDirection w:val="lrTb"/>
            <w:noWrap/>
          </w:tcPr>
          <w:p>
            <w:pPr>
              <w:pStyle w:val="990"/>
              <w:spacing w:beforeAutospacing="0" w:afterAutospacing="0" w:line="400" w:lineRule="exact"/>
              <w:rPr>
                <w:color w:val="auto"/>
                <w:highlight w:val="none"/>
              </w:rPr>
            </w:pPr>
            <w:r>
              <w:rPr>
                <w:rFonts w:hint="eastAsia"/>
                <w:color w:val="auto"/>
                <w:highlight w:val="none"/>
              </w:rPr>
              <w:t xml:space="preserve">大写：                </w:t>
            </w:r>
            <w:r/>
          </w:p>
        </w:tc>
      </w:tr>
      <w:tr>
        <w:trPr>
          <w:tblCellSpacing w:w="0" w:type="dxa"/>
          <w:trHeight w:val="1070"/>
        </w:trPr>
        <w:tc>
          <w:tcPr>
            <w:tcW w:w="8900" w:type="dxa"/>
            <w:vAlign w:val="center"/>
            <w:textDirection w:val="lrTb"/>
            <w:noWrap/>
          </w:tcPr>
          <w:p>
            <w:pPr>
              <w:pStyle w:val="990"/>
              <w:spacing w:beforeAutospacing="0" w:afterAutospacing="0" w:line="400" w:lineRule="exact"/>
              <w:rPr>
                <w:color w:val="auto"/>
                <w:highlight w:val="none"/>
              </w:rPr>
            </w:pPr>
            <w:r>
              <w:rPr>
                <w:rFonts w:hint="eastAsia"/>
                <w:color w:val="auto"/>
                <w:szCs w:val="21"/>
                <w:highlight w:val="none"/>
              </w:rPr>
              <w:t xml:space="preserve">小写：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 xml:space="preserve">（人民币：元）</w:t>
            </w:r>
            <w:r/>
          </w:p>
        </w:tc>
      </w:tr>
    </w:tbl>
    <w:p>
      <w:pPr>
        <w:pStyle w:val="990"/>
        <w:ind w:firstLine="600"/>
        <w:jc w:val="both"/>
        <w:spacing w:beforeAutospacing="0" w:afterAutospacing="0" w:line="500" w:lineRule="exact"/>
        <w:rPr>
          <w:color w:val="auto"/>
          <w:highlight w:val="none"/>
        </w:rPr>
      </w:pPr>
      <w:r>
        <w:rPr>
          <w:color w:val="auto"/>
          <w:highlight w:val="none"/>
        </w:rPr>
        <w:t xml:space="preserve"> </w:t>
      </w:r>
      <w:r/>
    </w:p>
    <w:p>
      <w:pPr>
        <w:pStyle w:val="990"/>
        <w:ind w:firstLine="480"/>
        <w:jc w:val="right"/>
        <w:spacing w:beforeAutospacing="0" w:afterAutospacing="0" w:line="500" w:lineRule="exact"/>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990"/>
        <w:ind w:firstLine="600"/>
        <w:jc w:val="both"/>
        <w:spacing w:beforeAutospacing="0" w:afterAutospacing="0" w:line="500" w:lineRule="exact"/>
        <w:rPr>
          <w:color w:val="auto"/>
          <w:highlight w:val="none"/>
        </w:rPr>
      </w:pPr>
      <w:r>
        <w:rPr>
          <w:rFonts w:hint="eastAsia"/>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90"/>
        <w:jc w:val="center"/>
        <w:keepLines w:val="0"/>
        <w:keepNext w:val="0"/>
        <w:pageBreakBefore w:val="0"/>
        <w:spacing w:beforeAutospacing="0" w:afterAutospacing="0" w:line="500" w:lineRule="exac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十六、服务方案等</w:t>
      </w:r>
      <w:r/>
    </w:p>
    <w:p>
      <w:pPr>
        <w:ind w:firstLine="482"/>
        <w:keepLines w:val="0"/>
        <w:keepNext w:val="0"/>
        <w:pageBreakBefore w:val="0"/>
        <w:spacing w:before="50" w:after="50" w:line="500" w:lineRule="exact"/>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80页，否则本项内容不得分。</w:t>
      </w:r>
      <w:r/>
    </w:p>
    <w:p>
      <w:pPr>
        <w:ind w:firstLine="482"/>
        <w:keepLines w:val="0"/>
        <w:keepNext w:val="0"/>
        <w:pageBreakBefore w:val="0"/>
        <w:spacing w:before="50" w:after="50" w:line="500" w:lineRule="exact"/>
        <w:rPr>
          <w:rFonts w:hint="eastAsia" w:ascii="宋体" w:hAnsi="宋体" w:eastAsia="宋体" w:cs="宋体"/>
          <w:b/>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上传的“明标”材料中不得出现与服务方案相关的内容，否则作无效标书处理。</w:t>
      </w:r>
      <w:r/>
    </w:p>
    <w:p>
      <w:pPr>
        <w:pStyle w:val="990"/>
        <w:jc w:val="center"/>
        <w:spacing w:beforeAutospacing="0" w:afterAutospacing="0" w:line="0" w:lineRule="atLeas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990"/>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十七、盐城市政府采购事前信用承诺书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499" w:lineRule="atLeast"/>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804"/>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4"/>
        <w:jc w:val="center"/>
        <w:spacing w:beforeAutospacing="0" w:afterAutospacing="0"/>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质疑函范本</w:t>
      </w:r>
      <w:r/>
    </w:p>
    <w:p>
      <w:pPr>
        <w:pStyle w:val="804"/>
        <w:jc w:val="both"/>
        <w:keepLines w:val="0"/>
        <w:keepNext w:val="0"/>
        <w:pageBreakBefore w:val="0"/>
        <w:spacing w:before="290"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04"/>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04"/>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80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0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04"/>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04"/>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0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0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0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0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0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04"/>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500" w:lineRule="exact"/>
        <w:rPr>
          <w:rFonts w:hint="eastAsia"/>
          <w:lang w:val="en-US"/>
        </w:rPr>
      </w:pPr>
      <w:r>
        <w:rPr>
          <w:rFonts w:hint="eastAsia"/>
          <w:lang w:val="en-US"/>
        </w:rPr>
      </w:r>
      <w:r/>
    </w:p>
    <w:p>
      <w:pPr>
        <w:keepLines w:val="0"/>
        <w:keepNext w:val="0"/>
        <w:pageBreakBefore w:val="0"/>
        <w:spacing w:line="500" w:lineRule="exact"/>
        <w:rPr>
          <w:rFonts w:hint="eastAsia"/>
          <w:lang w:val="en-US"/>
        </w:rPr>
      </w:pPr>
      <w:r>
        <w:rPr>
          <w:rFonts w:hint="eastAsia"/>
          <w:lang w:val="en-US"/>
        </w:rPr>
      </w:r>
      <w:r/>
    </w:p>
    <w:p>
      <w:pPr>
        <w:keepLines w:val="0"/>
        <w:keepNext w:val="0"/>
        <w:pageBreakBefore w:val="0"/>
        <w:spacing w:line="500" w:lineRule="exact"/>
        <w:rPr>
          <w:rFonts w:hint="eastAsia"/>
          <w:lang w:val="en-US"/>
        </w:rPr>
      </w:pPr>
      <w:r>
        <w:rPr>
          <w:rFonts w:hint="eastAsia"/>
          <w:lang w:val="en-US"/>
        </w:rPr>
      </w:r>
      <w:r/>
    </w:p>
    <w:p>
      <w:pPr>
        <w:keepLines w:val="0"/>
        <w:keepNext w:val="0"/>
        <w:pageBreakBefore w:val="0"/>
        <w:spacing w:line="500" w:lineRule="exact"/>
        <w:rPr>
          <w:rFonts w:hint="eastAsia"/>
          <w:lang w:val="en-US"/>
        </w:rPr>
      </w:pPr>
      <w:r>
        <w:rPr>
          <w:rFonts w:hint="eastAsia"/>
          <w:lang w:val="en-US"/>
        </w:rPr>
      </w:r>
      <w:r/>
    </w:p>
    <w:p>
      <w:pPr>
        <w:keepLines w:val="0"/>
        <w:keepNext w:val="0"/>
        <w:pageBreakBefore w:val="0"/>
        <w:spacing w:line="500" w:lineRule="exact"/>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jc w:val="left"/>
        <w:tabs>
          <w:tab w:val="left" w:pos="7680" w:leader="none"/>
        </w:tabs>
        <w:rPr>
          <w:rFonts w:hint="eastAsia" w:eastAsia="宋体"/>
          <w:lang w:val="en-US" w:eastAsia="zh-CN"/>
        </w:rPr>
      </w:pPr>
      <w:r>
        <w:rPr>
          <w:rFonts w:hint="eastAsia"/>
          <w:lang w:val="en-US" w:eastAsia="zh-CN"/>
        </w:rPr>
        <w:tab/>
      </w:r>
      <w:r/>
    </w:p>
    <w:sectPr>
      <w:headerReference w:type="default" r:id="rId11"/>
      <w:footerReference w:type="default" r:id="rId14"/>
      <w:footerReference w:type="first" r:id="rId15"/>
      <w:footnotePr/>
      <w:endnotePr/>
      <w:type w:val="nextPage"/>
      <w:pgSz w:w="11906" w:h="16838" w:orient="portrait"/>
      <w:pgMar w:top="1440" w:right="1633" w:bottom="1440" w:left="1633"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Wingdings">
    <w:panose1 w:val="05000000000000000000"/>
  </w:font>
  <w:font w:name="黑体">
    <w:panose1 w:val="02010609060101010101"/>
  </w:font>
  <w:font w:name="方正楷体_GBK">
    <w:panose1 w:val="020B0503020202020204"/>
  </w:font>
  <w:font w:name="仿宋">
    <w:panose1 w:val="02010609060101010101"/>
  </w:font>
  <w:font w:name="Courier New">
    <w:panose1 w:val="02070309020205020404"/>
  </w:font>
  <w:font w:name="楷体_GB2312">
    <w:panose1 w:val="02010609060101010101"/>
  </w:font>
  <w:font w:name="Arial">
    <w:panose1 w:val="020B0604020202020204"/>
  </w:font>
  <w:font w:name="Symbol">
    <w:panose1 w:val="05050102010706020507"/>
  </w:font>
  <w:font w:name="楷体">
    <w:panose1 w:val="02010609060101010101"/>
  </w:font>
  <w:font w:name="微软雅黑">
    <w:panose1 w:val="020B0503020204020204"/>
  </w:font>
  <w:font w:name="Calibri">
    <w:panose1 w:val="020F0502020204030204"/>
  </w:font>
  <w:font w:name="隶书">
    <w:panose1 w:val="020105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framePr w:wrap="around" w:vAnchor="text" w:hAnchor="margin" w:xAlign="center" w:y="1"/>
    </w:pPr>
    <w:r>
      <w:fldChar w:fldCharType="begin"/>
    </w:r>
    <w:r>
      <w:rPr>
        <w:rStyle w:val="874"/>
      </w:rPr>
      <w:instrText xml:space="preserve">PAGE  </w:instrText>
    </w:r>
    <w:r>
      <w:fldChar w:fldCharType="separate"/>
    </w:r>
    <w:r>
      <w:rPr>
        <w:rStyle w:val="874"/>
      </w:rPr>
      <w:t xml:space="preserve">1</w:t>
    </w:r>
    <w:r>
      <w:fldChar w:fldCharType="end"/>
    </w:r>
    <w:r/>
  </w:p>
  <w:p>
    <w:pPr>
      <w:pStyle w:val="8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258445" cy="13144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258444" cy="131445"/>
                      </a:xfrm>
                      <a:prstGeom prst="rect">
                        <a:avLst/>
                      </a:prstGeom>
                      <a:ln>
                        <a:noFill/>
                      </a:ln>
                    </wps:spPr>
                    <wps:txbx>
                      <w:txbxContent>
                        <w:p>
                          <w:pPr>
                            <w:pStyle w:val="793"/>
                          </w:pPr>
                          <w:r>
                            <w:fldChar w:fldCharType="begin"/>
                          </w:r>
                          <w:r>
                            <w:instrText xml:space="preserve"> PAGE  \* MERGEFORMAT </w:instrText>
                          </w:r>
                          <w:r>
                            <w:fldChar w:fldCharType="separate"/>
                          </w:r>
                          <w:r>
                            <w:t xml:space="preserve">58</w:t>
                          </w:r>
                          <w:r>
                            <w:fldChar w:fldCharType="end"/>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20.3pt;height:10.3pt;mso-wrap-distance-left:0.0pt;mso-wrap-distance-top:0.0pt;mso-wrap-distance-right:0.0pt;mso-wrap-distance-bottom:0.0pt;visibility:visible;" filled="f" stroked="f">
              <v:textbox inset="0,0,0,0">
                <w:txbxContent>
                  <w:p>
                    <w:pPr>
                      <w:pStyle w:val="793"/>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93"/>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793"/>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spacing w:line="400" w:lineRule="exact"/>
      <w:rPr>
        <w:color w:val="000000"/>
      </w:rPr>
    </w:pPr>
    <w:r>
      <w:rPr>
        <w:rFonts w:ascii="Times New Roman" w:hAnsi="Times New Roman" w:eastAsia="隶书" w:cs="Times New Roman"/>
        <w:spacing w:val="40"/>
        <w:sz w:val="22"/>
        <w:szCs w:val="22"/>
      </w:rPr>
      <w:t xml:space="preserve"> 盐城市政府采购</w:t>
    </w:r>
    <w:r>
      <w:rPr>
        <w:rFonts w:hint="eastAsia"/>
        <w:color w:val="000000"/>
        <w:sz w:val="22"/>
        <w:szCs w:val="22"/>
      </w:rPr>
      <w:t xml:space="preserve">（</w:t>
    </w:r>
    <w:r>
      <w:rPr>
        <w:rFonts w:hint="eastAsia"/>
        <w:b/>
        <w:bCs/>
        <w:sz w:val="21"/>
        <w:szCs w:val="21"/>
      </w:rPr>
      <w:t xml:space="preserve">JSZC-320900-JZCG-G2025-</w:t>
    </w:r>
    <w:r>
      <w:rPr>
        <w:rFonts w:hint="eastAsia"/>
        <w:b/>
        <w:bCs/>
        <w:sz w:val="21"/>
        <w:szCs w:val="21"/>
        <w:lang w:val="en-US" w:eastAsia="zh-CN"/>
      </w:rPr>
      <w:t xml:space="preserve">0057</w:t>
    </w:r>
    <w:r>
      <w:rPr>
        <w:rFonts w:hint="eastAsia"/>
        <w:color w:val="000000"/>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spacing w:line="400" w:lineRule="exact"/>
      <w:rPr>
        <w:color w:val="000000"/>
      </w:rPr>
    </w:pPr>
    <w:r>
      <w:rPr>
        <w:rFonts w:ascii="Times New Roman" w:hAnsi="Times New Roman" w:eastAsia="隶书" w:cs="Times New Roman"/>
        <w:spacing w:val="40"/>
        <w:sz w:val="22"/>
        <w:szCs w:val="22"/>
      </w:rPr>
      <w:t xml:space="preserve"> 盐城市政府采购</w:t>
    </w:r>
    <w:r>
      <w:rPr>
        <w:rFonts w:hint="eastAsia"/>
        <w:color w:val="000000"/>
        <w:sz w:val="22"/>
        <w:szCs w:val="22"/>
      </w:rPr>
      <w:t xml:space="preserve">（</w:t>
    </w:r>
    <w:r>
      <w:rPr>
        <w:rFonts w:hint="eastAsia"/>
        <w:b/>
        <w:bCs/>
        <w:sz w:val="21"/>
        <w:szCs w:val="21"/>
      </w:rPr>
      <w:t xml:space="preserve">JSZC-320900-JZCG-G2025-</w:t>
    </w:r>
    <w:r>
      <w:rPr>
        <w:rFonts w:hint="eastAsia"/>
        <w:b/>
        <w:bCs/>
        <w:sz w:val="21"/>
        <w:szCs w:val="21"/>
        <w:lang w:val="en-US" w:eastAsia="zh-CN"/>
      </w:rPr>
      <w:t xml:space="preserve">0057</w:t>
    </w:r>
    <w:r>
      <w:rPr>
        <w:rFonts w:hint="eastAsia"/>
        <w:color w:val="000000"/>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spacing w:line="400" w:lineRule="exact"/>
    </w:pPr>
    <w:r>
      <w:rPr>
        <w:rFonts w:ascii="Times New Roman" w:hAnsi="Times New Roman" w:eastAsia="隶书" w:cs="Times New Roman"/>
        <w:spacing w:val="40"/>
        <w:sz w:val="22"/>
        <w:szCs w:val="22"/>
      </w:rPr>
      <w:t xml:space="preserve"> 盐城市政府采购</w:t>
    </w:r>
    <w:r>
      <w:rPr>
        <w:rFonts w:hint="eastAsia"/>
        <w:color w:val="000000"/>
        <w:sz w:val="22"/>
        <w:szCs w:val="22"/>
      </w:rPr>
      <w:t xml:space="preserve">（</w:t>
    </w:r>
    <w:r>
      <w:rPr>
        <w:rFonts w:hint="eastAsia"/>
        <w:b/>
        <w:bCs/>
        <w:sz w:val="21"/>
        <w:szCs w:val="21"/>
      </w:rPr>
      <w:t xml:space="preserve">JSZC-320900-JZCG-G2025-</w:t>
    </w:r>
    <w:r>
      <w:rPr>
        <w:rFonts w:hint="eastAsia"/>
        <w:b/>
        <w:bCs/>
        <w:sz w:val="21"/>
        <w:szCs w:val="21"/>
        <w:lang w:val="en-US" w:eastAsia="zh-CN"/>
      </w:rPr>
      <w:t xml:space="preserve">0057</w:t>
    </w:r>
    <w:r>
      <w:rPr>
        <w:rFonts w:hint="eastAsia"/>
        <w:color w:val="000000"/>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name w:val="Heading 1"/>
    <w:basedOn w:val="777"/>
    <w:next w:val="777"/>
    <w:link w:val="1063"/>
    <w:uiPriority w:val="9"/>
    <w:qFormat/>
    <w:pPr>
      <w:keepLines/>
      <w:keepNext/>
      <w:spacing w:before="340" w:after="330" w:line="578" w:lineRule="auto"/>
      <w:outlineLvl w:val="0"/>
    </w:pPr>
    <w:rPr>
      <w:b/>
      <w:bCs/>
      <w:sz w:val="44"/>
      <w:szCs w:val="44"/>
    </w:rPr>
  </w:style>
  <w:style w:type="paragraph" w:styleId="779">
    <w:name w:val="Heading 2"/>
    <w:basedOn w:val="777"/>
    <w:next w:val="777"/>
    <w:uiPriority w:val="0"/>
    <w:unhideWhenUsed/>
    <w:qFormat/>
    <w:pPr>
      <w:ind w:firstLine="200"/>
      <w:keepLines/>
      <w:keepNext/>
      <w:spacing w:line="300" w:lineRule="auto"/>
      <w:outlineLvl w:val="1"/>
    </w:pPr>
    <w:rPr>
      <w:rFonts w:ascii="Calibri" w:hAnsi="Calibri"/>
      <w:b/>
      <w:bCs/>
      <w:szCs w:val="32"/>
    </w:rPr>
  </w:style>
  <w:style w:type="paragraph" w:styleId="780">
    <w:name w:val="Heading 3"/>
    <w:basedOn w:val="777"/>
    <w:next w:val="777"/>
    <w:uiPriority w:val="0"/>
    <w:unhideWhenUsed/>
    <w:qFormat/>
    <w:pPr>
      <w:ind w:firstLine="200"/>
      <w:spacing w:line="300" w:lineRule="auto"/>
      <w:widowControl/>
      <w:outlineLvl w:val="2"/>
    </w:pPr>
    <w:rPr>
      <w:rFonts w:ascii="Calibri" w:hAnsi="Calibri"/>
      <w:b/>
      <w:szCs w:val="20"/>
    </w:rPr>
  </w:style>
  <w:style w:type="character" w:styleId="781" w:default="1">
    <w:name w:val="Default Paragraph Font"/>
    <w:uiPriority w:val="1"/>
    <w:qFormat/>
  </w:style>
  <w:style w:type="table" w:styleId="782" w:default="1">
    <w:name w:val="Normal Table"/>
    <w:uiPriority w:val="99"/>
    <w:qFormat/>
    <w:tblPr>
      <w:tblCellMar>
        <w:left w:w="108" w:type="dxa"/>
        <w:top w:w="0" w:type="dxa"/>
        <w:right w:w="108" w:type="dxa"/>
        <w:bottom w:w="0" w:type="dxa"/>
      </w:tblCellMar>
    </w:tblPr>
  </w:style>
  <w:style w:type="paragraph" w:styleId="783">
    <w:name w:val="toc 7"/>
    <w:basedOn w:val="777"/>
    <w:next w:val="777"/>
    <w:uiPriority w:val="39"/>
    <w:qFormat/>
    <w:pPr>
      <w:ind w:left="1701"/>
      <w:spacing w:after="57"/>
    </w:pPr>
  </w:style>
  <w:style w:type="paragraph" w:styleId="784">
    <w:name w:val="annotation text"/>
    <w:basedOn w:val="777"/>
    <w:uiPriority w:val="0"/>
    <w:qFormat/>
    <w:pPr>
      <w:jc w:val="left"/>
    </w:pPr>
  </w:style>
  <w:style w:type="paragraph" w:styleId="785">
    <w:name w:val="Body Text"/>
    <w:basedOn w:val="777"/>
    <w:uiPriority w:val="0"/>
    <w:qFormat/>
    <w:rPr>
      <w:rFonts w:ascii="楷体" w:hAnsi="Arial" w:eastAsia="楷体"/>
      <w:sz w:val="28"/>
      <w:szCs w:val="28"/>
    </w:rPr>
  </w:style>
  <w:style w:type="paragraph" w:styleId="786">
    <w:name w:val="Body Text Indent"/>
    <w:basedOn w:val="777"/>
    <w:uiPriority w:val="0"/>
    <w:qFormat/>
    <w:pPr>
      <w:ind w:firstLine="645"/>
    </w:pPr>
    <w:rPr>
      <w:rFonts w:ascii="楷体_GB2312" w:eastAsia="楷体_GB2312"/>
      <w:sz w:val="32"/>
      <w:szCs w:val="32"/>
    </w:rPr>
  </w:style>
  <w:style w:type="paragraph" w:styleId="787">
    <w:name w:val="toc 5"/>
    <w:basedOn w:val="777"/>
    <w:next w:val="777"/>
    <w:uiPriority w:val="39"/>
    <w:qFormat/>
    <w:pPr>
      <w:ind w:left="1134"/>
      <w:spacing w:after="57"/>
    </w:pPr>
  </w:style>
  <w:style w:type="paragraph" w:styleId="788">
    <w:name w:val="toc 3"/>
    <w:basedOn w:val="777"/>
    <w:next w:val="777"/>
    <w:uiPriority w:val="39"/>
    <w:qFormat/>
    <w:pPr>
      <w:ind w:left="567"/>
      <w:spacing w:after="57"/>
    </w:pPr>
  </w:style>
  <w:style w:type="paragraph" w:styleId="789">
    <w:name w:val="Plain Text"/>
    <w:basedOn w:val="777"/>
    <w:uiPriority w:val="0"/>
    <w:qFormat/>
    <w:rPr>
      <w:rFonts w:ascii="宋体" w:hAnsi="Courier New" w:eastAsia="楷体"/>
      <w:sz w:val="28"/>
      <w:szCs w:val="20"/>
    </w:rPr>
  </w:style>
  <w:style w:type="paragraph" w:styleId="790">
    <w:name w:val="toc 8"/>
    <w:basedOn w:val="777"/>
    <w:next w:val="777"/>
    <w:uiPriority w:val="39"/>
    <w:qFormat/>
    <w:pPr>
      <w:ind w:left="1984"/>
      <w:spacing w:after="57"/>
    </w:pPr>
  </w:style>
  <w:style w:type="paragraph" w:styleId="791">
    <w:name w:val="endnote text"/>
    <w:basedOn w:val="777"/>
    <w:link w:val="942"/>
    <w:uiPriority w:val="99"/>
    <w:qFormat/>
    <w:rPr>
      <w:sz w:val="20"/>
    </w:rPr>
  </w:style>
  <w:style w:type="paragraph" w:styleId="792">
    <w:name w:val="Balloon Text"/>
    <w:basedOn w:val="777"/>
    <w:link w:val="901"/>
    <w:uiPriority w:val="99"/>
    <w:qFormat/>
    <w:rPr>
      <w:sz w:val="18"/>
      <w:szCs w:val="18"/>
    </w:rPr>
  </w:style>
  <w:style w:type="paragraph" w:styleId="793">
    <w:name w:val="Footer"/>
    <w:basedOn w:val="777"/>
    <w:link w:val="865"/>
    <w:uiPriority w:val="99"/>
    <w:qFormat/>
    <w:pPr>
      <w:jc w:val="left"/>
      <w:tabs>
        <w:tab w:val="center" w:pos="4153" w:leader="none"/>
        <w:tab w:val="right" w:pos="8306" w:leader="none"/>
      </w:tabs>
    </w:pPr>
    <w:rPr>
      <w:sz w:val="18"/>
      <w:szCs w:val="18"/>
    </w:rPr>
  </w:style>
  <w:style w:type="paragraph" w:styleId="794">
    <w:name w:val="Header"/>
    <w:basedOn w:val="777"/>
    <w:link w:val="1012"/>
    <w:uiPriority w:val="99"/>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77"/>
    <w:next w:val="777"/>
    <w:uiPriority w:val="39"/>
    <w:qFormat/>
    <w:pPr>
      <w:spacing w:after="57"/>
    </w:pPr>
  </w:style>
  <w:style w:type="paragraph" w:styleId="796">
    <w:name w:val="toc 4"/>
    <w:basedOn w:val="777"/>
    <w:next w:val="777"/>
    <w:uiPriority w:val="39"/>
    <w:qFormat/>
    <w:pPr>
      <w:ind w:left="850"/>
      <w:spacing w:after="57"/>
    </w:pPr>
  </w:style>
  <w:style w:type="paragraph" w:styleId="797">
    <w:name w:val="Subtitle"/>
    <w:basedOn w:val="777"/>
    <w:next w:val="777"/>
    <w:link w:val="845"/>
    <w:uiPriority w:val="11"/>
    <w:qFormat/>
    <w:pPr>
      <w:spacing w:before="200" w:after="200"/>
    </w:pPr>
    <w:rPr>
      <w:sz w:val="24"/>
    </w:rPr>
  </w:style>
  <w:style w:type="paragraph" w:styleId="798">
    <w:name w:val="footnote text"/>
    <w:basedOn w:val="777"/>
    <w:link w:val="843"/>
    <w:uiPriority w:val="99"/>
    <w:qFormat/>
    <w:pPr>
      <w:spacing w:after="40"/>
    </w:pPr>
    <w:rPr>
      <w:sz w:val="18"/>
    </w:rPr>
  </w:style>
  <w:style w:type="paragraph" w:styleId="799">
    <w:name w:val="toc 6"/>
    <w:basedOn w:val="777"/>
    <w:next w:val="777"/>
    <w:uiPriority w:val="39"/>
    <w:qFormat/>
    <w:pPr>
      <w:ind w:left="1417"/>
      <w:spacing w:after="57"/>
    </w:pPr>
  </w:style>
  <w:style w:type="paragraph" w:styleId="800">
    <w:name w:val="Body Text Indent 3"/>
    <w:basedOn w:val="777"/>
    <w:uiPriority w:val="0"/>
    <w:qFormat/>
    <w:pPr>
      <w:ind w:left="645" w:firstLine="645"/>
    </w:pPr>
    <w:rPr>
      <w:rFonts w:ascii="Arial" w:hAnsi="Arial" w:eastAsia="仿宋" w:cs="Arial"/>
      <w:color w:val="ffff00"/>
      <w:sz w:val="32"/>
      <w:szCs w:val="32"/>
    </w:rPr>
  </w:style>
  <w:style w:type="paragraph" w:styleId="801">
    <w:name w:val="table of figures"/>
    <w:basedOn w:val="777"/>
    <w:next w:val="777"/>
    <w:uiPriority w:val="99"/>
    <w:qFormat/>
  </w:style>
  <w:style w:type="paragraph" w:styleId="802">
    <w:name w:val="toc 2"/>
    <w:basedOn w:val="777"/>
    <w:next w:val="777"/>
    <w:uiPriority w:val="39"/>
    <w:qFormat/>
    <w:pPr>
      <w:ind w:left="283"/>
      <w:spacing w:after="57"/>
    </w:pPr>
  </w:style>
  <w:style w:type="paragraph" w:styleId="803">
    <w:name w:val="toc 9"/>
    <w:basedOn w:val="777"/>
    <w:next w:val="777"/>
    <w:uiPriority w:val="39"/>
    <w:qFormat/>
    <w:pPr>
      <w:ind w:left="2268"/>
      <w:spacing w:after="57"/>
    </w:pPr>
  </w:style>
  <w:style w:type="paragraph" w:styleId="804">
    <w:name w:val="Normal (Web)"/>
    <w:basedOn w:val="777"/>
    <w:uiPriority w:val="0"/>
    <w:qFormat/>
    <w:pPr>
      <w:jc w:val="left"/>
      <w:spacing w:beforeAutospacing="1" w:afterAutospacing="1"/>
    </w:pPr>
    <w:rPr>
      <w:sz w:val="24"/>
    </w:rPr>
  </w:style>
  <w:style w:type="paragraph" w:styleId="805">
    <w:name w:val="Title"/>
    <w:basedOn w:val="777"/>
    <w:next w:val="777"/>
    <w:link w:val="844"/>
    <w:uiPriority w:val="10"/>
    <w:qFormat/>
    <w:pPr>
      <w:contextualSpacing/>
      <w:spacing w:before="300" w:after="200"/>
    </w:pPr>
    <w:rPr>
      <w:sz w:val="48"/>
      <w:szCs w:val="48"/>
    </w:rPr>
  </w:style>
  <w:style w:type="paragraph" w:styleId="806">
    <w:name w:val="Body Text First Indent"/>
    <w:basedOn w:val="777"/>
    <w:next w:val="777"/>
    <w:uiPriority w:val="99"/>
    <w:qFormat/>
    <w:pPr>
      <w:ind w:firstLine="420"/>
    </w:pPr>
  </w:style>
  <w:style w:type="paragraph" w:styleId="807">
    <w:name w:val="Body Text First Indent 2"/>
    <w:basedOn w:val="786"/>
    <w:uiPriority w:val="0"/>
    <w:qFormat/>
    <w:pPr>
      <w:ind w:firstLine="420"/>
      <w:spacing w:line="360" w:lineRule="auto"/>
    </w:pPr>
    <w:rPr>
      <w:rFonts w:ascii="宋体" w:hAnsi="宋体" w:eastAsia="宋体"/>
      <w:sz w:val="21"/>
      <w:szCs w:val="20"/>
    </w:rPr>
  </w:style>
  <w:style w:type="table" w:styleId="8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qFormat/>
    <w:rPr>
      <w:vertAlign w:val="superscript"/>
    </w:rPr>
  </w:style>
  <w:style w:type="character" w:styleId="810">
    <w:name w:val="Hyperlink"/>
    <w:uiPriority w:val="99"/>
    <w:qFormat/>
    <w:rPr>
      <w:color w:val="0000ff"/>
      <w:u w:val="single"/>
    </w:rPr>
  </w:style>
  <w:style w:type="character" w:styleId="811">
    <w:name w:val="annotation reference"/>
    <w:basedOn w:val="781"/>
    <w:uiPriority w:val="99"/>
    <w:qFormat/>
    <w:rPr>
      <w:sz w:val="21"/>
      <w:szCs w:val="21"/>
    </w:rPr>
  </w:style>
  <w:style w:type="character" w:styleId="812">
    <w:name w:val="footnote reference"/>
    <w:uiPriority w:val="99"/>
    <w:qFormat/>
    <w:rPr>
      <w:vertAlign w:val="superscript"/>
    </w:rPr>
  </w:style>
  <w:style w:type="character" w:styleId="813" w:customStyle="1">
    <w:name w:val="Heading 1 Char"/>
    <w:basedOn w:val="781"/>
    <w:uiPriority w:val="9"/>
    <w:qFormat/>
    <w:rPr>
      <w:rFonts w:ascii="Arial" w:hAnsi="Arial" w:eastAsia="Arial" w:cs="Arial"/>
      <w:sz w:val="40"/>
      <w:szCs w:val="40"/>
    </w:rPr>
  </w:style>
  <w:style w:type="character" w:styleId="814" w:customStyle="1">
    <w:name w:val="Heading 2 Char"/>
    <w:basedOn w:val="781"/>
    <w:uiPriority w:val="9"/>
    <w:qFormat/>
    <w:rPr>
      <w:rFonts w:ascii="Arial" w:hAnsi="Arial" w:eastAsia="Arial" w:cs="Arial"/>
      <w:sz w:val="34"/>
    </w:rPr>
  </w:style>
  <w:style w:type="character" w:styleId="815" w:customStyle="1">
    <w:name w:val="Heading 3 Char"/>
    <w:basedOn w:val="781"/>
    <w:uiPriority w:val="9"/>
    <w:qFormat/>
    <w:rPr>
      <w:rFonts w:ascii="Arial" w:hAnsi="Arial" w:eastAsia="Arial" w:cs="Arial"/>
      <w:sz w:val="30"/>
      <w:szCs w:val="30"/>
    </w:rPr>
  </w:style>
  <w:style w:type="character" w:styleId="816" w:customStyle="1">
    <w:name w:val="Heading 4 Char"/>
    <w:basedOn w:val="781"/>
    <w:uiPriority w:val="9"/>
    <w:qFormat/>
    <w:rPr>
      <w:rFonts w:ascii="Arial" w:hAnsi="Arial" w:eastAsia="Arial" w:cs="Arial"/>
      <w:b/>
      <w:bCs/>
      <w:sz w:val="26"/>
      <w:szCs w:val="26"/>
    </w:rPr>
  </w:style>
  <w:style w:type="character" w:styleId="817" w:customStyle="1">
    <w:name w:val="Heading 5 Char"/>
    <w:basedOn w:val="781"/>
    <w:uiPriority w:val="9"/>
    <w:qFormat/>
    <w:rPr>
      <w:rFonts w:ascii="Arial" w:hAnsi="Arial" w:eastAsia="Arial" w:cs="Arial"/>
      <w:b/>
      <w:bCs/>
      <w:sz w:val="24"/>
      <w:szCs w:val="24"/>
    </w:rPr>
  </w:style>
  <w:style w:type="character" w:styleId="818" w:customStyle="1">
    <w:name w:val="Heading 6 Char"/>
    <w:basedOn w:val="781"/>
    <w:uiPriority w:val="9"/>
    <w:qFormat/>
    <w:rPr>
      <w:rFonts w:ascii="Arial" w:hAnsi="Arial" w:eastAsia="Arial" w:cs="Arial"/>
      <w:b/>
      <w:bCs/>
      <w:sz w:val="22"/>
      <w:szCs w:val="22"/>
    </w:rPr>
  </w:style>
  <w:style w:type="character" w:styleId="819" w:customStyle="1">
    <w:name w:val="Heading 7 Char"/>
    <w:basedOn w:val="781"/>
    <w:uiPriority w:val="9"/>
    <w:qFormat/>
    <w:rPr>
      <w:rFonts w:ascii="Arial" w:hAnsi="Arial" w:eastAsia="Arial" w:cs="Arial"/>
      <w:b/>
      <w:bCs/>
      <w:i/>
      <w:iCs/>
      <w:sz w:val="22"/>
      <w:szCs w:val="22"/>
    </w:rPr>
  </w:style>
  <w:style w:type="character" w:styleId="820" w:customStyle="1">
    <w:name w:val="Heading 8 Char"/>
    <w:basedOn w:val="781"/>
    <w:uiPriority w:val="9"/>
    <w:qFormat/>
    <w:rPr>
      <w:rFonts w:ascii="Arial" w:hAnsi="Arial" w:eastAsia="Arial" w:cs="Arial"/>
      <w:i/>
      <w:iCs/>
      <w:sz w:val="22"/>
      <w:szCs w:val="22"/>
    </w:rPr>
  </w:style>
  <w:style w:type="character" w:styleId="821" w:customStyle="1">
    <w:name w:val="Heading 9 Char"/>
    <w:basedOn w:val="781"/>
    <w:uiPriority w:val="9"/>
    <w:qFormat/>
    <w:rPr>
      <w:rFonts w:ascii="Arial" w:hAnsi="Arial" w:eastAsia="Arial" w:cs="Arial"/>
      <w:i/>
      <w:iCs/>
      <w:sz w:val="21"/>
      <w:szCs w:val="21"/>
    </w:rPr>
  </w:style>
  <w:style w:type="character" w:styleId="822" w:customStyle="1">
    <w:name w:val="Title Char"/>
    <w:basedOn w:val="781"/>
    <w:uiPriority w:val="10"/>
    <w:qFormat/>
    <w:rPr>
      <w:sz w:val="48"/>
      <w:szCs w:val="48"/>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81"/>
    <w:uiPriority w:val="99"/>
    <w:qFormat/>
  </w:style>
  <w:style w:type="character" w:styleId="826" w:customStyle="1">
    <w:name w:val="Footer Char"/>
    <w:basedOn w:val="781"/>
    <w:uiPriority w:val="99"/>
    <w:qFormat/>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表格正文"/>
    <w:basedOn w:val="777"/>
    <w:next w:val="777"/>
    <w:uiPriority w:val="0"/>
    <w:qFormat/>
    <w:pPr>
      <w:jc w:val="left"/>
      <w:spacing w:line="440" w:lineRule="exact"/>
    </w:pPr>
    <w:rPr>
      <w:rFonts w:cs="Times New Roman"/>
      <w:szCs w:val="21"/>
    </w:rPr>
  </w:style>
  <w:style w:type="table" w:styleId="829"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3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31" w:customStyle="1">
    <w:name w:val="Heading 7"/>
    <w:basedOn w:val="777"/>
    <w:next w:val="777"/>
    <w:link w:val="848"/>
    <w:uiPriority w:val="9"/>
    <w:qFormat/>
    <w:pPr>
      <w:keepLines/>
      <w:keepNext/>
      <w:spacing w:before="320" w:after="200"/>
      <w:outlineLvl w:val="6"/>
    </w:pPr>
    <w:rPr>
      <w:rFonts w:ascii="Arial" w:hAnsi="Arial" w:eastAsia="Arial" w:cs="Arial"/>
      <w:b/>
      <w:bCs/>
      <w:i/>
      <w:iCs/>
      <w:sz w:val="22"/>
      <w:szCs w:val="22"/>
    </w:rPr>
  </w:style>
  <w:style w:type="paragraph" w:styleId="832" w:customStyle="1">
    <w:name w:val="正文文本缩进12"/>
    <w:basedOn w:val="777"/>
    <w:next w:val="833"/>
    <w:uiPriority w:val="0"/>
    <w:qFormat/>
    <w:pPr>
      <w:ind w:firstLine="645"/>
    </w:pPr>
    <w:rPr>
      <w:rFonts w:ascii="楷体" w:eastAsia="楷体"/>
      <w:sz w:val="32"/>
      <w:szCs w:val="32"/>
    </w:rPr>
  </w:style>
  <w:style w:type="paragraph" w:styleId="833" w:customStyle="1">
    <w:name w:val="寄信人地址11"/>
    <w:basedOn w:val="777"/>
    <w:uiPriority w:val="0"/>
    <w:qFormat/>
    <w:pPr>
      <w:ind w:firstLine="420"/>
      <w:jc w:val="left"/>
      <w:spacing w:line="360" w:lineRule="auto"/>
    </w:pPr>
    <w:rPr>
      <w:rFonts w:ascii="Arial" w:hAnsi="Arial" w:cs="宋体"/>
      <w:color w:val="000000"/>
      <w:sz w:val="22"/>
      <w:szCs w:val="21"/>
    </w:rPr>
  </w:style>
  <w:style w:type="paragraph" w:styleId="834" w:customStyle="1">
    <w:name w:val="pa-4"/>
    <w:basedOn w:val="777"/>
    <w:uiPriority w:val="0"/>
    <w:qFormat/>
    <w:pPr>
      <w:jc w:val="left"/>
      <w:spacing w:before="150" w:after="150"/>
      <w:widowControl/>
    </w:pPr>
    <w:rPr>
      <w:rFonts w:ascii="宋体" w:hAnsi="宋体" w:cs="宋体"/>
      <w:color w:val="000000"/>
      <w:sz w:val="24"/>
    </w:rPr>
  </w:style>
  <w:style w:type="table" w:styleId="83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38">
    <w:name w:val="No Spacing"/>
    <w:uiPriority w:val="1"/>
    <w:qFormat/>
    <w:rPr>
      <w:rFonts w:hint="default" w:ascii="Calibri" w:hAnsi="Calibri" w:eastAsia="宋体" w:cs="Times New Roman"/>
      <w:sz w:val="21"/>
      <w:szCs w:val="22"/>
      <w:lang w:val="en-US" w:eastAsia="zh-CN" w:bidi="ar-SA"/>
    </w:rPr>
  </w:style>
  <w:style w:type="table" w:styleId="839"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40" w:customStyle="1">
    <w:name w:val="标题 411"/>
    <w:basedOn w:val="777"/>
    <w:next w:val="841"/>
    <w:uiPriority w:val="0"/>
    <w:qFormat/>
    <w:pPr>
      <w:keepLines/>
      <w:keepNext/>
      <w:spacing w:before="280" w:after="290" w:line="376" w:lineRule="auto"/>
      <w:outlineLvl w:val="3"/>
    </w:pPr>
    <w:rPr>
      <w:rFonts w:ascii="Arial" w:hAnsi="Arial" w:eastAsia="黑体"/>
      <w:b/>
      <w:bCs/>
      <w:sz w:val="28"/>
      <w:szCs w:val="28"/>
    </w:rPr>
  </w:style>
  <w:style w:type="paragraph" w:styleId="841" w:customStyle="1">
    <w:name w:val="正文缩进11"/>
    <w:basedOn w:val="777"/>
    <w:uiPriority w:val="0"/>
    <w:qFormat/>
    <w:pPr>
      <w:ind w:firstLine="420"/>
    </w:pPr>
    <w:rPr>
      <w:szCs w:val="20"/>
    </w:rPr>
  </w:style>
  <w:style w:type="table" w:styleId="842"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character" w:styleId="843" w:customStyle="1">
    <w:name w:val="脚注文本 Char"/>
    <w:link w:val="798"/>
    <w:uiPriority w:val="99"/>
    <w:qFormat/>
    <w:rPr>
      <w:sz w:val="18"/>
    </w:rPr>
  </w:style>
  <w:style w:type="character" w:styleId="844" w:customStyle="1">
    <w:name w:val="标题 Char"/>
    <w:link w:val="805"/>
    <w:uiPriority w:val="10"/>
    <w:qFormat/>
    <w:rPr>
      <w:sz w:val="48"/>
      <w:szCs w:val="48"/>
    </w:rPr>
  </w:style>
  <w:style w:type="character" w:styleId="845" w:customStyle="1">
    <w:name w:val="副标题 Char"/>
    <w:link w:val="797"/>
    <w:uiPriority w:val="11"/>
    <w:qFormat/>
    <w:rPr>
      <w:sz w:val="24"/>
      <w:szCs w:val="24"/>
    </w:rPr>
  </w:style>
  <w:style w:type="table" w:styleId="84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4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848" w:customStyle="1">
    <w:name w:val="Heading 7 Char_243c9c46-6bad-48b0-9f85-4983fd8b207a"/>
    <w:link w:val="831"/>
    <w:uiPriority w:val="9"/>
    <w:qFormat/>
    <w:rPr>
      <w:rFonts w:ascii="Arial" w:hAnsi="Arial" w:eastAsia="Arial" w:cs="Arial"/>
      <w:b/>
      <w:bCs/>
      <w:i/>
      <w:iCs/>
      <w:sz w:val="22"/>
      <w:szCs w:val="22"/>
    </w:rPr>
  </w:style>
  <w:style w:type="character" w:styleId="849" w:customStyle="1">
    <w:name w:val="Subtitle Char"/>
    <w:basedOn w:val="781"/>
    <w:uiPriority w:val="11"/>
    <w:qFormat/>
    <w:rPr>
      <w:sz w:val="24"/>
      <w:szCs w:val="24"/>
    </w:rPr>
  </w:style>
  <w:style w:type="paragraph" w:styleId="850" w:customStyle="1">
    <w:name w:val="页脚11"/>
    <w:basedOn w:val="777"/>
    <w:uiPriority w:val="0"/>
    <w:qFormat/>
    <w:pPr>
      <w:jc w:val="left"/>
      <w:tabs>
        <w:tab w:val="center" w:pos="4153" w:leader="none"/>
        <w:tab w:val="right" w:pos="8306" w:leader="none"/>
      </w:tabs>
    </w:pPr>
    <w:rPr>
      <w:sz w:val="18"/>
      <w:szCs w:val="20"/>
    </w:rPr>
  </w:style>
  <w:style w:type="table" w:styleId="851"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52"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5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854" w:customStyle="1">
    <w:name w:val="4"/>
    <w:basedOn w:val="777"/>
    <w:next w:val="800"/>
    <w:uiPriority w:val="0"/>
    <w:qFormat/>
    <w:pPr>
      <w:ind w:firstLine="480"/>
      <w:spacing w:line="360" w:lineRule="auto"/>
    </w:pPr>
    <w:rPr>
      <w:rFonts w:eastAsia="微软雅黑"/>
      <w:b/>
      <w:color w:val="ff0000"/>
      <w:sz w:val="24"/>
    </w:rPr>
  </w:style>
  <w:style w:type="table" w:styleId="855"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856" w:customStyle="1">
    <w:name w:val="标题 111"/>
    <w:basedOn w:val="777"/>
    <w:next w:val="777"/>
    <w:uiPriority w:val="0"/>
    <w:qFormat/>
    <w:pPr>
      <w:keepNext/>
      <w:outlineLvl w:val="0"/>
    </w:pPr>
    <w:rPr>
      <w:rFonts w:ascii="楷体" w:eastAsia="楷体"/>
      <w:sz w:val="28"/>
      <w:szCs w:val="20"/>
    </w:rPr>
  </w:style>
  <w:style w:type="table" w:styleId="85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859" w:customStyle="1">
    <w:name w:val="标题 11"/>
    <w:basedOn w:val="777"/>
    <w:next w:val="777"/>
    <w:uiPriority w:val="0"/>
    <w:qFormat/>
    <w:pPr>
      <w:jc w:val="center"/>
      <w:keepNext/>
      <w:outlineLvl w:val="0"/>
    </w:pPr>
    <w:rPr>
      <w:rFonts w:ascii="楷体" w:eastAsia="楷体"/>
      <w:sz w:val="28"/>
      <w:szCs w:val="28"/>
    </w:rPr>
  </w:style>
  <w:style w:type="table" w:styleId="86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1"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62" w:customStyle="1">
    <w:name w:val="Heading 8 Char_bb4c8d23-d699-441a-bd29-a0db28661282"/>
    <w:link w:val="863"/>
    <w:uiPriority w:val="9"/>
    <w:qFormat/>
    <w:rPr>
      <w:rFonts w:ascii="Arial" w:hAnsi="Arial" w:eastAsia="Arial" w:cs="Arial"/>
      <w:i/>
      <w:iCs/>
      <w:sz w:val="22"/>
      <w:szCs w:val="22"/>
    </w:rPr>
  </w:style>
  <w:style w:type="paragraph" w:styleId="863" w:customStyle="1">
    <w:name w:val="Heading 8"/>
    <w:basedOn w:val="777"/>
    <w:next w:val="777"/>
    <w:link w:val="862"/>
    <w:uiPriority w:val="9"/>
    <w:qFormat/>
    <w:pPr>
      <w:keepLines/>
      <w:keepNext/>
      <w:spacing w:before="320" w:after="200"/>
      <w:outlineLvl w:val="7"/>
    </w:pPr>
    <w:rPr>
      <w:rFonts w:ascii="Arial" w:hAnsi="Arial" w:eastAsia="Arial" w:cs="Arial"/>
      <w:i/>
      <w:iCs/>
      <w:sz w:val="22"/>
      <w:szCs w:val="22"/>
    </w:rPr>
  </w:style>
  <w:style w:type="table" w:styleId="8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character" w:styleId="865" w:customStyle="1">
    <w:name w:val="页脚 Char"/>
    <w:basedOn w:val="781"/>
    <w:link w:val="793"/>
    <w:uiPriority w:val="99"/>
    <w:qFormat/>
    <w:rPr>
      <w:rFonts w:ascii="Times New Roman" w:hAnsi="Times New Roman"/>
      <w:sz w:val="18"/>
      <w:szCs w:val="18"/>
    </w:rPr>
  </w:style>
  <w:style w:type="table" w:styleId="86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869" w:customStyle="1">
    <w:name w:val="Body text|2"/>
    <w:basedOn w:val="777"/>
    <w:uiPriority w:val="0"/>
    <w:qFormat/>
    <w:pPr>
      <w:spacing w:after="580"/>
    </w:pPr>
    <w:rPr>
      <w:rFonts w:ascii="宋体" w:hAnsi="宋体" w:cs="宋体"/>
      <w:sz w:val="28"/>
      <w:szCs w:val="28"/>
      <w:lang w:val="zh-TW" w:eastAsia="zh-TW" w:bidi="zh-TW"/>
    </w:rPr>
  </w:style>
  <w:style w:type="table" w:styleId="870"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871" w:customStyle="1">
    <w:name w:val="正文首行缩进 211"/>
    <w:basedOn w:val="872"/>
    <w:uiPriority w:val="0"/>
    <w:qFormat/>
    <w:pPr>
      <w:ind w:firstLine="420"/>
    </w:pPr>
  </w:style>
  <w:style w:type="paragraph" w:styleId="872" w:customStyle="1">
    <w:name w:val="正文文本缩进11"/>
    <w:basedOn w:val="777"/>
    <w:next w:val="873"/>
    <w:uiPriority w:val="0"/>
    <w:qFormat/>
    <w:pPr>
      <w:ind w:left="420"/>
      <w:spacing w:after="120"/>
    </w:pPr>
  </w:style>
  <w:style w:type="paragraph" w:styleId="873" w:customStyle="1">
    <w:name w:val="寄信人地址1"/>
    <w:basedOn w:val="777"/>
    <w:uiPriority w:val="0"/>
    <w:qFormat/>
    <w:rPr>
      <w:rFonts w:ascii="Arial" w:hAnsi="Arial"/>
    </w:rPr>
  </w:style>
  <w:style w:type="character" w:styleId="874" w:customStyle="1">
    <w:name w:val="页码11"/>
    <w:uiPriority w:val="0"/>
    <w:qFormat/>
  </w:style>
  <w:style w:type="table" w:styleId="8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877" w:customStyle="1">
    <w:name w:val="NormalCharacter"/>
    <w:uiPriority w:val="99"/>
    <w:qFormat/>
    <w:rPr>
      <w:rFonts w:ascii="Calibri" w:hAnsi="Calibri" w:eastAsia="宋体"/>
    </w:rPr>
  </w:style>
  <w:style w:type="character" w:styleId="878" w:customStyle="1">
    <w:name w:val="标题 2 Char"/>
    <w:link w:val="879"/>
    <w:uiPriority w:val="0"/>
    <w:qFormat/>
    <w:rPr>
      <w:rFonts w:ascii="Arial" w:hAnsi="Arial" w:eastAsia="宋体"/>
      <w:b/>
      <w:sz w:val="44"/>
      <w:szCs w:val="20"/>
    </w:rPr>
  </w:style>
  <w:style w:type="paragraph" w:styleId="879" w:customStyle="1">
    <w:name w:val="标题 211"/>
    <w:basedOn w:val="777"/>
    <w:next w:val="777"/>
    <w:link w:val="878"/>
    <w:uiPriority w:val="0"/>
    <w:qFormat/>
    <w:pPr>
      <w:jc w:val="center"/>
      <w:keepLines/>
      <w:keepNext/>
      <w:spacing w:before="260" w:after="260" w:line="416" w:lineRule="auto"/>
      <w:outlineLvl w:val="1"/>
    </w:pPr>
    <w:rPr>
      <w:rFonts w:ascii="Arial" w:hAnsi="Arial" w:eastAsia="宋体"/>
      <w:b/>
      <w:sz w:val="44"/>
      <w:szCs w:val="20"/>
    </w:rPr>
  </w:style>
  <w:style w:type="paragraph" w:styleId="880" w:customStyle="1">
    <w:name w:val="正文缩进1"/>
    <w:basedOn w:val="777"/>
    <w:uiPriority w:val="0"/>
    <w:qFormat/>
    <w:pPr>
      <w:ind w:firstLine="420"/>
    </w:pPr>
  </w:style>
  <w:style w:type="paragraph" w:styleId="881" w:customStyle="1">
    <w:name w:val="WPSOffice手动目录 1"/>
    <w:uiPriority w:val="0"/>
    <w:qFormat/>
    <w:rPr>
      <w:rFonts w:hint="default" w:ascii="Times New Roman" w:hAnsi="Times New Roman" w:eastAsia="宋体" w:cs="Times New Roman"/>
      <w:sz w:val="20"/>
      <w:szCs w:val="20"/>
    </w:rPr>
  </w:style>
  <w:style w:type="table" w:styleId="88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883" w:customStyle="1">
    <w:name w:val="Heading 4"/>
    <w:basedOn w:val="777"/>
    <w:next w:val="777"/>
    <w:link w:val="1017"/>
    <w:uiPriority w:val="9"/>
    <w:qFormat/>
    <w:pPr>
      <w:keepLines/>
      <w:keepNext/>
      <w:spacing w:before="320" w:after="200"/>
      <w:outlineLvl w:val="3"/>
    </w:pPr>
    <w:rPr>
      <w:rFonts w:ascii="Arial" w:hAnsi="Arial" w:eastAsia="Arial" w:cs="Arial"/>
      <w:b/>
      <w:bCs/>
      <w:sz w:val="26"/>
      <w:szCs w:val="26"/>
    </w:rPr>
  </w:style>
  <w:style w:type="table" w:styleId="88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885" w:customStyle="1">
    <w:name w:val="Heading 1"/>
    <w:basedOn w:val="777"/>
    <w:next w:val="777"/>
    <w:link w:val="995"/>
    <w:uiPriority w:val="9"/>
    <w:qFormat/>
    <w:pPr>
      <w:keepLines/>
      <w:keepNext/>
      <w:spacing w:before="480" w:after="200"/>
      <w:outlineLvl w:val="0"/>
    </w:pPr>
    <w:rPr>
      <w:rFonts w:ascii="Arial" w:hAnsi="Arial" w:eastAsia="Arial" w:cs="Arial"/>
      <w:sz w:val="40"/>
      <w:szCs w:val="40"/>
    </w:rPr>
  </w:style>
  <w:style w:type="table" w:styleId="8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887" w:customStyle="1">
    <w:name w:val="纯文本11"/>
    <w:basedOn w:val="777"/>
    <w:uiPriority w:val="99"/>
    <w:qFormat/>
    <w:rPr>
      <w:rFonts w:ascii="宋体" w:hAnsi="Courier New"/>
      <w:szCs w:val="20"/>
    </w:rPr>
  </w:style>
  <w:style w:type="table" w:styleId="8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889" w:customStyle="1">
    <w:name w:val="普通正文"/>
    <w:basedOn w:val="777"/>
    <w:uiPriority w:val="0"/>
    <w:qFormat/>
    <w:pPr>
      <w:ind w:firstLine="480"/>
      <w:jc w:val="left"/>
      <w:spacing w:before="120" w:after="120" w:line="360" w:lineRule="auto"/>
    </w:pPr>
    <w:rPr>
      <w:rFonts w:ascii="Arial" w:hAnsi="Arial"/>
      <w:sz w:val="24"/>
    </w:rPr>
  </w:style>
  <w:style w:type="character" w:styleId="890" w:customStyle="1">
    <w:name w:val="Heading 3 Char_b44b1981-d08e-43d8-9445-f3a845f9238f"/>
    <w:link w:val="891"/>
    <w:uiPriority w:val="9"/>
    <w:qFormat/>
    <w:rPr>
      <w:rFonts w:ascii="Arial" w:hAnsi="Arial" w:eastAsia="Arial" w:cs="Arial"/>
      <w:sz w:val="30"/>
      <w:szCs w:val="30"/>
    </w:rPr>
  </w:style>
  <w:style w:type="paragraph" w:styleId="891" w:customStyle="1">
    <w:name w:val="Heading 3"/>
    <w:basedOn w:val="777"/>
    <w:next w:val="777"/>
    <w:link w:val="890"/>
    <w:uiPriority w:val="9"/>
    <w:qFormat/>
    <w:pPr>
      <w:keepLines/>
      <w:keepNext/>
      <w:spacing w:before="320" w:after="200"/>
      <w:outlineLvl w:val="2"/>
    </w:pPr>
    <w:rPr>
      <w:rFonts w:ascii="Arial" w:hAnsi="Arial" w:eastAsia="Arial" w:cs="Arial"/>
      <w:sz w:val="30"/>
      <w:szCs w:val="30"/>
    </w:rPr>
  </w:style>
  <w:style w:type="table" w:styleId="89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893" w:customStyle="1">
    <w:name w:val="font21"/>
    <w:basedOn w:val="781"/>
    <w:uiPriority w:val="0"/>
    <w:qFormat/>
    <w:rPr>
      <w:rFonts w:hint="default" w:ascii="Times New Roman" w:hAnsi="Times New Roman" w:cs="Times New Roman"/>
      <w:color w:val="000000"/>
      <w:sz w:val="24"/>
      <w:szCs w:val="24"/>
      <w:u w:val="none"/>
    </w:rPr>
  </w:style>
  <w:style w:type="table" w:styleId="89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895" w:customStyle="1">
    <w:name w:val="TOC 标题1"/>
    <w:uiPriority w:val="39"/>
    <w:qFormat/>
    <w:rPr>
      <w:rFonts w:hint="default" w:ascii="Times New Roman" w:hAnsi="Times New Roman" w:eastAsia="宋体" w:cs="Times New Roman"/>
      <w:sz w:val="21"/>
      <w:szCs w:val="22"/>
      <w:lang w:val="en-US" w:eastAsia="zh-CN" w:bidi="ar-SA"/>
    </w:rPr>
  </w:style>
  <w:style w:type="table" w:styleId="896"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7"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899" w:customStyle="1">
    <w:name w:val="Header"/>
    <w:basedOn w:val="777"/>
    <w:link w:val="1064"/>
    <w:uiPriority w:val="99"/>
    <w:qFormat/>
    <w:pPr>
      <w:tabs>
        <w:tab w:val="center" w:pos="7143" w:leader="none"/>
        <w:tab w:val="right" w:pos="14287" w:leader="none"/>
      </w:tabs>
    </w:pPr>
  </w:style>
  <w:style w:type="table" w:styleId="9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character" w:styleId="901" w:customStyle="1">
    <w:name w:val="批注框文本 Char"/>
    <w:basedOn w:val="781"/>
    <w:link w:val="792"/>
    <w:uiPriority w:val="99"/>
    <w:qFormat/>
    <w:rPr>
      <w:rFonts w:ascii="Times New Roman" w:hAnsi="Times New Roman"/>
      <w:sz w:val="18"/>
      <w:szCs w:val="18"/>
    </w:rPr>
  </w:style>
  <w:style w:type="table" w:styleId="90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0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05" w:customStyle="1">
    <w:name w:val="Title Char_b4b369a3-c0dc-4a1c-864f-542fcbabd844"/>
    <w:basedOn w:val="781"/>
    <w:uiPriority w:val="10"/>
    <w:qFormat/>
    <w:rPr>
      <w:sz w:val="48"/>
      <w:szCs w:val="48"/>
    </w:rPr>
  </w:style>
  <w:style w:type="table" w:styleId="90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0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09"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10" w:customStyle="1">
    <w:name w:val="Footer Char_9810c813-560c-4d63-9ee2-25cd38a8754c"/>
    <w:uiPriority w:val="99"/>
    <w:qFormat/>
  </w:style>
  <w:style w:type="paragraph" w:styleId="911" w:customStyle="1">
    <w:name w:val="标题 311"/>
    <w:basedOn w:val="777"/>
    <w:next w:val="777"/>
    <w:uiPriority w:val="0"/>
    <w:qFormat/>
    <w:pPr>
      <w:keepLines/>
      <w:keepNext/>
      <w:spacing w:before="260" w:after="260" w:line="416" w:lineRule="auto"/>
      <w:outlineLvl w:val="2"/>
    </w:pPr>
    <w:rPr>
      <w:b/>
      <w:sz w:val="32"/>
      <w:szCs w:val="20"/>
    </w:rPr>
  </w:style>
  <w:style w:type="table" w:styleId="91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14" w:customStyle="1">
    <w:name w:val="正文文本缩进1"/>
    <w:basedOn w:val="777"/>
    <w:uiPriority w:val="0"/>
    <w:qFormat/>
    <w:pPr>
      <w:ind w:firstLine="645"/>
    </w:pPr>
    <w:rPr>
      <w:rFonts w:ascii="楷体" w:eastAsia="楷体"/>
      <w:sz w:val="32"/>
      <w:szCs w:val="32"/>
    </w:rPr>
  </w:style>
  <w:style w:type="paragraph" w:styleId="915" w:customStyle="1">
    <w:name w:val="样式 小四 段前: 5 磅 段后: 5 磅 首行缩进:  2 字符"/>
    <w:basedOn w:val="777"/>
    <w:uiPriority w:val="0"/>
    <w:qFormat/>
    <w:pPr>
      <w:spacing w:line="360" w:lineRule="auto"/>
    </w:pPr>
    <w:rPr>
      <w:rFonts w:ascii="宋体" w:hAnsi="宋体"/>
    </w:rPr>
  </w:style>
  <w:style w:type="paragraph" w:styleId="916" w:customStyle="1">
    <w:name w:val="文本块1"/>
    <w:basedOn w:val="777"/>
    <w:uiPriority w:val="99"/>
    <w:qFormat/>
    <w:pPr>
      <w:ind w:left="1440" w:right="1440"/>
      <w:spacing w:after="120"/>
      <w:tabs>
        <w:tab w:val="left" w:pos="9000" w:leader="none"/>
      </w:tabs>
    </w:pPr>
  </w:style>
  <w:style w:type="table" w:styleId="917"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1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21"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22" w:customStyle="1">
    <w:name w:val="Table Normal"/>
    <w:uiPriority w:val="0"/>
    <w:qFormat/>
    <w:tblPr>
      <w:tblCellMar>
        <w:left w:w="0" w:type="dxa"/>
        <w:top w:w="0" w:type="dxa"/>
        <w:right w:w="0" w:type="dxa"/>
        <w:bottom w:w="0" w:type="dxa"/>
      </w:tblCellMar>
    </w:tblPr>
  </w:style>
  <w:style w:type="table" w:styleId="9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925">
    <w:name w:val="Intense Quote"/>
    <w:basedOn w:val="777"/>
    <w:next w:val="777"/>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2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2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paragraph" w:styleId="928" w:customStyle="1">
    <w:name w:val="标题 21"/>
    <w:basedOn w:val="777"/>
    <w:next w:val="880"/>
    <w:uiPriority w:val="0"/>
    <w:qFormat/>
    <w:pPr>
      <w:jc w:val="center"/>
      <w:keepLines/>
      <w:keepNext/>
      <w:spacing w:before="260" w:after="260" w:line="416" w:lineRule="auto"/>
      <w:outlineLvl w:val="1"/>
    </w:pPr>
    <w:rPr>
      <w:rFonts w:ascii="Arial" w:hAnsi="Arial" w:eastAsia="宋体" w:cs="Arial"/>
      <w:b/>
      <w:bCs/>
      <w:sz w:val="44"/>
      <w:szCs w:val="44"/>
    </w:r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30" w:customStyle="1">
    <w:name w:val="Heading 6 Char_2290764d-6979-4590-8bd3-c121b1f1845e"/>
    <w:link w:val="931"/>
    <w:uiPriority w:val="9"/>
    <w:qFormat/>
    <w:rPr>
      <w:rFonts w:ascii="Arial" w:hAnsi="Arial" w:eastAsia="Arial" w:cs="Arial"/>
      <w:b/>
      <w:bCs/>
      <w:sz w:val="22"/>
      <w:szCs w:val="22"/>
    </w:rPr>
  </w:style>
  <w:style w:type="paragraph" w:styleId="931" w:customStyle="1">
    <w:name w:val="Heading 6"/>
    <w:basedOn w:val="777"/>
    <w:next w:val="777"/>
    <w:link w:val="930"/>
    <w:uiPriority w:val="9"/>
    <w:qFormat/>
    <w:pPr>
      <w:keepLines/>
      <w:keepNext/>
      <w:spacing w:before="320" w:after="200"/>
      <w:outlineLvl w:val="5"/>
    </w:pPr>
    <w:rPr>
      <w:rFonts w:ascii="Arial" w:hAnsi="Arial" w:eastAsia="Arial" w:cs="Arial"/>
      <w:b/>
      <w:bCs/>
      <w:sz w:val="22"/>
      <w:szCs w:val="22"/>
    </w:rPr>
  </w:style>
  <w:style w:type="paragraph" w:styleId="932" w:customStyle="1">
    <w:name w:val="flName"/>
    <w:basedOn w:val="777"/>
    <w:uiPriority w:val="0"/>
    <w:qFormat/>
    <w:pPr>
      <w:jc w:val="center"/>
      <w:spacing w:before="320" w:after="160" w:line="360" w:lineRule="atLeast"/>
    </w:pPr>
    <w:rPr>
      <w:rFonts w:ascii="Arial" w:eastAsia="黑体"/>
      <w:sz w:val="32"/>
      <w:szCs w:val="20"/>
    </w:rPr>
  </w:style>
  <w:style w:type="table" w:styleId="93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3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36"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character" w:styleId="937" w:customStyle="1">
    <w:name w:val="NormalCharacter1"/>
    <w:uiPriority w:val="99"/>
    <w:qFormat/>
    <w:rPr>
      <w:rFonts w:ascii="Calibri" w:hAnsi="Calibri" w:eastAsia="宋体"/>
    </w:rPr>
  </w:style>
  <w:style w:type="paragraph" w:styleId="938" w:customStyle="1">
    <w:name w:val="pa-5"/>
    <w:basedOn w:val="777"/>
    <w:uiPriority w:val="0"/>
    <w:qFormat/>
    <w:pPr>
      <w:jc w:val="left"/>
      <w:spacing w:before="150" w:after="150"/>
      <w:widowControl/>
    </w:pPr>
    <w:rPr>
      <w:rFonts w:ascii="宋体" w:hAnsi="宋体" w:cs="宋体"/>
      <w:color w:val="000000"/>
      <w:sz w:val="24"/>
    </w:rPr>
  </w:style>
  <w:style w:type="character" w:styleId="939" w:customStyle="1">
    <w:name w:val="Heading 2 Char_5c8af6f5-e48a-4634-bbf8-b2e5c568ca8f"/>
    <w:link w:val="940"/>
    <w:uiPriority w:val="9"/>
    <w:qFormat/>
    <w:rPr>
      <w:rFonts w:ascii="Arial" w:hAnsi="Arial" w:eastAsia="Arial" w:cs="Arial"/>
      <w:sz w:val="34"/>
    </w:rPr>
  </w:style>
  <w:style w:type="paragraph" w:styleId="940" w:customStyle="1">
    <w:name w:val="Heading 2"/>
    <w:basedOn w:val="777"/>
    <w:next w:val="777"/>
    <w:link w:val="939"/>
    <w:uiPriority w:val="9"/>
    <w:qFormat/>
    <w:pPr>
      <w:keepLines/>
      <w:keepNext/>
      <w:spacing w:before="360" w:after="200"/>
      <w:outlineLvl w:val="1"/>
    </w:pPr>
    <w:rPr>
      <w:rFonts w:ascii="Arial" w:hAnsi="Arial" w:eastAsia="Arial" w:cs="Arial"/>
      <w:sz w:val="34"/>
    </w:r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42" w:customStyle="1">
    <w:name w:val="尾注文本 Char"/>
    <w:link w:val="791"/>
    <w:uiPriority w:val="99"/>
    <w:qFormat/>
    <w:rPr>
      <w:sz w:val="20"/>
    </w:rPr>
  </w:style>
  <w:style w:type="character" w:styleId="943" w:customStyle="1">
    <w:name w:val="Footnote Text Char"/>
    <w:uiPriority w:val="99"/>
    <w:qFormat/>
    <w:rPr>
      <w:sz w:val="18"/>
    </w:rPr>
  </w:style>
  <w:style w:type="paragraph" w:styleId="944" w:customStyle="1">
    <w:name w:val="批注文字1"/>
    <w:basedOn w:val="777"/>
    <w:uiPriority w:val="0"/>
    <w:qFormat/>
    <w:pPr>
      <w:jc w:val="left"/>
    </w:pPr>
    <w:rPr>
      <w:rFonts w:ascii="Calibri" w:hAnsi="Calibri"/>
      <w:szCs w:val="22"/>
    </w:rPr>
  </w:style>
  <w:style w:type="table" w:styleId="945"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46" w:customStyle="1">
    <w:name w:val="font31"/>
    <w:basedOn w:val="781"/>
    <w:uiPriority w:val="0"/>
    <w:qFormat/>
    <w:rPr>
      <w:rFonts w:hint="eastAsia" w:ascii="宋体" w:hAnsi="宋体" w:eastAsia="宋体" w:cs="宋体"/>
      <w:color w:val="000000"/>
      <w:sz w:val="19"/>
      <w:szCs w:val="19"/>
      <w:u w:val="none"/>
    </w:rPr>
  </w:style>
  <w:style w:type="table" w:styleId="9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48" w:customStyle="1">
    <w:name w:val="Heading 5"/>
    <w:basedOn w:val="777"/>
    <w:next w:val="777"/>
    <w:link w:val="1048"/>
    <w:uiPriority w:val="9"/>
    <w:qFormat/>
    <w:pPr>
      <w:keepLines/>
      <w:keepNext/>
      <w:spacing w:before="320" w:after="200"/>
      <w:outlineLvl w:val="4"/>
    </w:pPr>
    <w:rPr>
      <w:rFonts w:ascii="Arial" w:hAnsi="Arial" w:eastAsia="Arial" w:cs="Arial"/>
      <w:b/>
      <w:bCs/>
      <w:sz w:val="24"/>
    </w:rPr>
  </w:style>
  <w:style w:type="paragraph" w:styleId="949" w:customStyle="1">
    <w:name w:val="页脚1"/>
    <w:basedOn w:val="777"/>
    <w:uiPriority w:val="0"/>
    <w:qFormat/>
    <w:pPr>
      <w:jc w:val="left"/>
      <w:tabs>
        <w:tab w:val="center" w:pos="4153" w:leader="none"/>
        <w:tab w:val="right" w:pos="8306" w:leader="none"/>
      </w:tabs>
    </w:pPr>
    <w:rPr>
      <w:sz w:val="18"/>
      <w:szCs w:val="18"/>
    </w:rPr>
  </w:style>
  <w:style w:type="table" w:styleId="9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51" w:customStyle="1">
    <w:name w:val="Intense Quote Char_cd88471f-87b8-480c-ab55-e1b012420c09"/>
    <w:uiPriority w:val="30"/>
    <w:qFormat/>
    <w:rPr>
      <w:i/>
    </w:rPr>
  </w:style>
  <w:style w:type="table" w:styleId="952"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53"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paragraph" w:styleId="954"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55" w:customStyle="1">
    <w:name w:val="目录 11"/>
    <w:basedOn w:val="777"/>
    <w:next w:val="777"/>
    <w:uiPriority w:val="0"/>
    <w:qFormat/>
    <w:pPr>
      <w:jc w:val="left"/>
      <w:spacing w:before="120" w:after="120" w:line="300" w:lineRule="exact"/>
      <w:tabs>
        <w:tab w:val="right" w:pos="9440" w:leader="dot"/>
      </w:tabs>
    </w:pPr>
    <w:rPr>
      <w:rFonts w:ascii="黑体" w:eastAsia="黑体"/>
      <w:b/>
      <w:caps/>
      <w:sz w:val="18"/>
      <w:szCs w:val="28"/>
    </w:rPr>
  </w:style>
  <w:style w:type="table" w:styleId="95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57"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5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59"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961" w:customStyle="1">
    <w:name w:val="Heading 9"/>
    <w:basedOn w:val="777"/>
    <w:next w:val="777"/>
    <w:link w:val="1016"/>
    <w:uiPriority w:val="9"/>
    <w:qFormat/>
    <w:pPr>
      <w:keepLines/>
      <w:keepNext/>
      <w:spacing w:before="320" w:after="200"/>
      <w:outlineLvl w:val="8"/>
    </w:pPr>
    <w:rPr>
      <w:rFonts w:ascii="Arial" w:hAnsi="Arial" w:eastAsia="Arial" w:cs="Arial"/>
      <w:i/>
      <w:iCs/>
      <w:szCs w:val="21"/>
    </w:rPr>
  </w:style>
  <w:style w:type="table" w:styleId="96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6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64"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965" w:customStyle="1">
    <w:name w:val="Body text|1"/>
    <w:basedOn w:val="777"/>
    <w:uiPriority w:val="0"/>
    <w:qFormat/>
    <w:pPr>
      <w:ind w:firstLine="320"/>
      <w:spacing w:line="466" w:lineRule="auto"/>
    </w:pPr>
    <w:rPr>
      <w:rFonts w:ascii="宋体" w:hAnsi="宋体" w:cs="宋体"/>
      <w:sz w:val="20"/>
      <w:szCs w:val="20"/>
      <w:lang w:val="zh-TW" w:eastAsia="zh-TW" w:bidi="zh-TW"/>
    </w:rPr>
  </w:style>
  <w:style w:type="table" w:styleId="96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968" w:customStyle="1">
    <w:name w:val="列出段落1"/>
    <w:basedOn w:val="777"/>
    <w:uiPriority w:val="0"/>
    <w:qFormat/>
    <w:pPr>
      <w:contextualSpacing/>
      <w:ind w:left="720"/>
      <w:jc w:val="left"/>
      <w:widowControl/>
    </w:pPr>
    <w:rPr>
      <w:rFonts w:ascii="Calibri" w:hAnsi="Calibri"/>
      <w:sz w:val="24"/>
      <w:lang w:eastAsia="en-US" w:bidi="en-US"/>
    </w:rPr>
  </w:style>
  <w:style w:type="paragraph" w:styleId="969" w:customStyle="1">
    <w:name w:val="正文缩进12"/>
    <w:basedOn w:val="777"/>
    <w:uiPriority w:val="0"/>
    <w:qFormat/>
    <w:pPr>
      <w:ind w:firstLine="420"/>
      <w:jc w:val="left"/>
      <w:spacing w:line="360" w:lineRule="auto"/>
    </w:pPr>
    <w:rPr>
      <w:rFonts w:ascii="宋体" w:hAnsi="宋体" w:cs="宋体"/>
      <w:color w:val="000000"/>
      <w:sz w:val="24"/>
      <w:szCs w:val="21"/>
    </w:rPr>
  </w:style>
  <w:style w:type="table" w:styleId="97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71"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character" w:styleId="972" w:customStyle="1">
    <w:name w:val="默认段落字体1"/>
    <w:uiPriority w:val="0"/>
    <w:qFormat/>
  </w:style>
  <w:style w:type="table" w:styleId="97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975" w:customStyle="1">
    <w:name w:val="font11"/>
    <w:basedOn w:val="781"/>
    <w:uiPriority w:val="0"/>
    <w:qFormat/>
    <w:rPr>
      <w:rFonts w:hint="eastAsia" w:ascii="宋体" w:hAnsi="宋体" w:eastAsia="宋体" w:cs="宋体"/>
      <w:b/>
      <w:bCs/>
      <w:color w:val="000000"/>
      <w:sz w:val="21"/>
      <w:szCs w:val="21"/>
      <w:u w:val="none"/>
    </w:rPr>
  </w:style>
  <w:style w:type="table" w:styleId="976"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7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980" w:customStyle="1">
    <w:name w:val="日期1"/>
    <w:basedOn w:val="777"/>
    <w:next w:val="777"/>
    <w:uiPriority w:val="0"/>
    <w:qFormat/>
    <w:rPr>
      <w:sz w:val="24"/>
      <w:szCs w:val="20"/>
    </w:rPr>
  </w:style>
  <w:style w:type="paragraph" w:styleId="981" w:customStyle="1">
    <w:name w:val="pa-6"/>
    <w:basedOn w:val="777"/>
    <w:uiPriority w:val="0"/>
    <w:qFormat/>
    <w:pPr>
      <w:jc w:val="left"/>
      <w:spacing w:before="150" w:after="150"/>
      <w:widowControl/>
    </w:pPr>
    <w:rPr>
      <w:rFonts w:ascii="宋体" w:hAnsi="宋体" w:cs="宋体"/>
      <w:color w:val="000000"/>
      <w:sz w:val="24"/>
    </w:rPr>
  </w:style>
  <w:style w:type="table" w:styleId="982"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83">
    <w:name w:val="List Paragraph"/>
    <w:basedOn w:val="777"/>
    <w:uiPriority w:val="34"/>
    <w:qFormat/>
    <w:pPr>
      <w:contextualSpacing/>
      <w:ind w:left="720"/>
    </w:pPr>
  </w:style>
  <w:style w:type="table" w:styleId="9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8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9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988" w:customStyle="1">
    <w:name w:val="纯文本1"/>
    <w:basedOn w:val="777"/>
    <w:uiPriority w:val="0"/>
    <w:qFormat/>
    <w:rPr>
      <w:rFonts w:ascii="宋体" w:hAnsi="Courier New" w:eastAsia="楷体"/>
      <w:sz w:val="26"/>
    </w:rPr>
  </w:style>
  <w:style w:type="paragraph" w:styleId="989" w:customStyle="1">
    <w:name w:val="Table Paragraph"/>
    <w:basedOn w:val="777"/>
    <w:uiPriority w:val="1"/>
    <w:qFormat/>
    <w:pPr>
      <w:ind w:left="348"/>
    </w:pPr>
    <w:rPr>
      <w:rFonts w:ascii="宋体" w:hAnsi="宋体" w:eastAsia="宋体" w:cs="宋体"/>
      <w:lang w:val="zh-CN" w:bidi="zh-CN"/>
    </w:rPr>
  </w:style>
  <w:style w:type="paragraph" w:styleId="990" w:customStyle="1">
    <w:name w:val="普通(网站)1"/>
    <w:basedOn w:val="777"/>
    <w:uiPriority w:val="99"/>
    <w:qFormat/>
    <w:pPr>
      <w:jc w:val="left"/>
      <w:spacing w:before="100" w:beforeAutospacing="1" w:after="100" w:afterAutospacing="1"/>
      <w:widowControl/>
    </w:pPr>
    <w:rPr>
      <w:rFonts w:ascii="宋体" w:hAnsi="宋体" w:cs="宋体"/>
      <w:sz w:val="24"/>
    </w:rPr>
  </w:style>
  <w:style w:type="paragraph" w:styleId="991" w:customStyle="1">
    <w:name w:val="页眉1"/>
    <w:basedOn w:val="777"/>
    <w:uiPriority w:val="0"/>
    <w:qFormat/>
    <w:pPr>
      <w:jc w:val="center"/>
      <w:tabs>
        <w:tab w:val="center" w:pos="4153" w:leader="none"/>
        <w:tab w:val="right" w:pos="8306" w:leader="none"/>
      </w:tabs>
      <w:pBdr>
        <w:bottom w:val="single" w:color="000000" w:sz="6" w:space="1"/>
      </w:pBdr>
    </w:pPr>
    <w:rPr>
      <w:sz w:val="18"/>
      <w:szCs w:val="18"/>
    </w:rPr>
  </w:style>
  <w:style w:type="table" w:styleId="99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9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character" w:styleId="995" w:customStyle="1">
    <w:name w:val="Heading 1 Char_d4af410d-dfd8-408c-bcbd-0b5a38582c10"/>
    <w:link w:val="885"/>
    <w:uiPriority w:val="9"/>
    <w:qFormat/>
    <w:rPr>
      <w:rFonts w:ascii="Arial" w:hAnsi="Arial" w:eastAsia="Arial" w:cs="Arial"/>
      <w:sz w:val="40"/>
      <w:szCs w:val="40"/>
    </w:rPr>
  </w:style>
  <w:style w:type="table" w:styleId="99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997" w:customStyle="1">
    <w:name w:val="普通(网站)11"/>
    <w:basedOn w:val="777"/>
    <w:uiPriority w:val="0"/>
    <w:qFormat/>
    <w:pPr>
      <w:jc w:val="left"/>
      <w:spacing w:before="100" w:beforeAutospacing="1" w:after="100" w:afterAutospacing="1"/>
      <w:widowControl/>
    </w:pPr>
    <w:rPr>
      <w:rFonts w:ascii="宋体" w:hAnsi="宋体" w:cs="宋体"/>
      <w:sz w:val="24"/>
    </w:rPr>
  </w:style>
  <w:style w:type="paragraph" w:styleId="998" w:customStyle="1">
    <w:name w:val="pa-3"/>
    <w:basedOn w:val="777"/>
    <w:uiPriority w:val="0"/>
    <w:qFormat/>
    <w:pPr>
      <w:jc w:val="left"/>
      <w:spacing w:before="150" w:after="150"/>
      <w:widowControl/>
    </w:pPr>
    <w:rPr>
      <w:rFonts w:ascii="宋体" w:hAnsi="宋体" w:cs="宋体"/>
      <w:color w:val="000000"/>
      <w:sz w:val="24"/>
    </w:rPr>
  </w:style>
  <w:style w:type="table" w:styleId="999"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01" w:customStyle="1">
    <w:name w:val="TOC 标题111"/>
    <w:uiPriority w:val="39"/>
    <w:qFormat/>
    <w:rPr>
      <w:rFonts w:hint="default" w:ascii="Times New Roman" w:hAnsi="Times New Roman" w:eastAsia="宋体" w:cs="Times New Roman"/>
      <w:sz w:val="21"/>
      <w:szCs w:val="22"/>
      <w:lang w:val="en-US" w:eastAsia="zh-CN" w:bidi="ar-SA"/>
    </w:rPr>
  </w:style>
  <w:style w:type="table" w:styleId="10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0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04" w:customStyle="1">
    <w:name w:val="正文文本1"/>
    <w:basedOn w:val="777"/>
    <w:next w:val="1005"/>
    <w:uiPriority w:val="0"/>
    <w:qFormat/>
    <w:rPr>
      <w:rFonts w:ascii="楷体" w:hAnsi="Arial" w:eastAsia="楷体"/>
      <w:sz w:val="28"/>
      <w:szCs w:val="20"/>
    </w:rPr>
  </w:style>
  <w:style w:type="paragraph" w:styleId="1005" w:customStyle="1">
    <w:name w:val="正文文本 21"/>
    <w:basedOn w:val="777"/>
    <w:uiPriority w:val="0"/>
    <w:qFormat/>
    <w:pPr>
      <w:jc w:val="center"/>
    </w:pPr>
    <w:rPr>
      <w:rFonts w:ascii="仿宋" w:eastAsia="仿宋"/>
      <w:sz w:val="44"/>
    </w:rPr>
  </w:style>
  <w:style w:type="table" w:styleId="100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07" w:customStyle="1">
    <w:name w:val="段"/>
    <w:next w:val="777"/>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08" w:customStyle="1">
    <w:name w:val="引用 Char"/>
    <w:link w:val="1009"/>
    <w:uiPriority w:val="29"/>
    <w:qFormat/>
    <w:rPr>
      <w:i/>
    </w:rPr>
  </w:style>
  <w:style w:type="paragraph" w:styleId="1009">
    <w:name w:val="Quote"/>
    <w:basedOn w:val="777"/>
    <w:next w:val="777"/>
    <w:link w:val="1008"/>
    <w:uiPriority w:val="29"/>
    <w:qFormat/>
    <w:pPr>
      <w:ind w:left="720" w:right="720"/>
    </w:pPr>
    <w:rPr>
      <w:i/>
    </w:rPr>
  </w:style>
  <w:style w:type="table" w:styleId="1010"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1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character" w:styleId="1012" w:customStyle="1">
    <w:name w:val="页眉 Char"/>
    <w:basedOn w:val="781"/>
    <w:link w:val="794"/>
    <w:uiPriority w:val="99"/>
    <w:qFormat/>
    <w:rPr>
      <w:rFonts w:ascii="Times New Roman" w:hAnsi="Times New Roman"/>
      <w:sz w:val="18"/>
      <w:szCs w:val="18"/>
    </w:rPr>
  </w:style>
  <w:style w:type="paragraph" w:styleId="1013" w:customStyle="1">
    <w:name w:val="正文首行缩进 21"/>
    <w:basedOn w:val="914"/>
    <w:uiPriority w:val="0"/>
    <w:qFormat/>
    <w:pPr>
      <w:ind w:firstLine="420"/>
      <w:spacing w:line="360" w:lineRule="auto"/>
    </w:pPr>
    <w:rPr>
      <w:rFonts w:ascii="宋体" w:hAnsi="宋体" w:eastAsia="宋体"/>
      <w:sz w:val="21"/>
      <w:szCs w:val="20"/>
    </w:rPr>
  </w:style>
  <w:style w:type="table" w:styleId="1014"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15"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character" w:styleId="1016" w:customStyle="1">
    <w:name w:val="Heading 9 Char_dff5989d-488f-4bce-8721-1e40fadef25a"/>
    <w:link w:val="961"/>
    <w:uiPriority w:val="9"/>
    <w:qFormat/>
    <w:rPr>
      <w:rFonts w:ascii="Arial" w:hAnsi="Arial" w:eastAsia="Arial" w:cs="Arial"/>
      <w:i/>
      <w:iCs/>
      <w:sz w:val="21"/>
      <w:szCs w:val="21"/>
    </w:rPr>
  </w:style>
  <w:style w:type="character" w:styleId="1017" w:customStyle="1">
    <w:name w:val="Heading 4 Char_c31a3291-bfa4-4d7b-9792-7b59c18d4e2b"/>
    <w:link w:val="883"/>
    <w:uiPriority w:val="9"/>
    <w:qFormat/>
    <w:rPr>
      <w:rFonts w:ascii="Arial" w:hAnsi="Arial" w:eastAsia="Arial" w:cs="Arial"/>
      <w:b/>
      <w:bCs/>
      <w:sz w:val="26"/>
      <w:szCs w:val="26"/>
    </w:rPr>
  </w:style>
  <w:style w:type="table" w:styleId="101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19"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1020" w:customStyle="1">
    <w:name w:val="明显引用 Char"/>
    <w:link w:val="925"/>
    <w:uiPriority w:val="30"/>
    <w:qFormat/>
    <w:rPr>
      <w:i/>
    </w:rPr>
  </w:style>
  <w:style w:type="table" w:styleId="102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1022" w:customStyle="1">
    <w:name w:val="Endnote Text Char"/>
    <w:uiPriority w:val="99"/>
    <w:qFormat/>
    <w:rPr>
      <w:sz w:val="20"/>
    </w:rPr>
  </w:style>
  <w:style w:type="table" w:styleId="102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2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2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26" w:customStyle="1">
    <w:name w:val="TOC 标题11"/>
    <w:uiPriority w:val="39"/>
    <w:qFormat/>
    <w:rPr>
      <w:rFonts w:hint="default" w:ascii="Calibri" w:hAnsi="Calibri" w:eastAsia="宋体" w:cs="Times New Roman"/>
      <w:sz w:val="21"/>
      <w:szCs w:val="22"/>
      <w:lang w:val="en-US" w:eastAsia="zh-CN" w:bidi="ar-SA"/>
    </w:rPr>
  </w:style>
  <w:style w:type="table" w:styleId="102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28" w:customStyle="1">
    <w:name w:val="标题 41"/>
    <w:basedOn w:val="777"/>
    <w:next w:val="777"/>
    <w:uiPriority w:val="0"/>
    <w:qFormat/>
    <w:pPr>
      <w:keepLines/>
      <w:keepNext/>
      <w:spacing w:before="280" w:after="290" w:line="376" w:lineRule="auto"/>
      <w:outlineLvl w:val="3"/>
    </w:pPr>
    <w:rPr>
      <w:rFonts w:ascii="Arial" w:hAnsi="Arial" w:eastAsia="黑体" w:cs="Arial"/>
      <w:b/>
      <w:bCs/>
      <w:sz w:val="28"/>
      <w:szCs w:val="28"/>
    </w:rPr>
  </w:style>
  <w:style w:type="paragraph" w:styleId="1029" w:customStyle="1">
    <w:name w:val="Caption"/>
    <w:basedOn w:val="777"/>
    <w:next w:val="777"/>
    <w:uiPriority w:val="35"/>
    <w:qFormat/>
    <w:pPr>
      <w:spacing w:line="276" w:lineRule="auto"/>
    </w:pPr>
    <w:rPr>
      <w:b/>
      <w:bCs/>
      <w:color w:val="4f81bd"/>
      <w:sz w:val="18"/>
      <w:szCs w:val="18"/>
    </w:rPr>
  </w:style>
  <w:style w:type="table" w:styleId="1030"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3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34"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3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037" w:customStyle="1">
    <w:name w:val="Body text|4"/>
    <w:basedOn w:val="777"/>
    <w:uiPriority w:val="0"/>
    <w:qFormat/>
    <w:pPr>
      <w:ind w:hanging="1540"/>
    </w:pPr>
    <w:rPr>
      <w:sz w:val="20"/>
      <w:szCs w:val="20"/>
      <w:lang w:val="zh-CN"/>
    </w:rPr>
  </w:style>
  <w:style w:type="table" w:styleId="1038"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39" w:customStyle="1">
    <w:name w:val="页码1"/>
    <w:uiPriority w:val="0"/>
    <w:qFormat/>
  </w:style>
  <w:style w:type="table" w:styleId="1040"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42"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04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4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45" w:customStyle="1">
    <w:name w:val="标题 31"/>
    <w:basedOn w:val="777"/>
    <w:next w:val="777"/>
    <w:uiPriority w:val="0"/>
    <w:qFormat/>
    <w:pPr>
      <w:keepLines/>
      <w:keepNext/>
      <w:spacing w:before="260" w:after="260" w:line="416" w:lineRule="auto"/>
      <w:outlineLvl w:val="2"/>
    </w:pPr>
    <w:rPr>
      <w:b/>
      <w:bCs/>
      <w:sz w:val="32"/>
      <w:szCs w:val="32"/>
    </w:rPr>
  </w:style>
  <w:style w:type="paragraph" w:styleId="1046" w:customStyle="1">
    <w:name w:val="纯文本2"/>
    <w:basedOn w:val="777"/>
    <w:uiPriority w:val="0"/>
    <w:qFormat/>
    <w:rPr>
      <w:rFonts w:ascii="宋体" w:hAnsi="Courier New" w:eastAsia="楷体"/>
      <w:sz w:val="28"/>
      <w:szCs w:val="20"/>
    </w:rPr>
  </w:style>
  <w:style w:type="table" w:styleId="104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character" w:styleId="1048" w:customStyle="1">
    <w:name w:val="Heading 5 Char_23cf5061-de88-43b9-8d64-289936838cdf"/>
    <w:link w:val="948"/>
    <w:uiPriority w:val="9"/>
    <w:qFormat/>
    <w:rPr>
      <w:rFonts w:ascii="Arial" w:hAnsi="Arial" w:eastAsia="Arial" w:cs="Arial"/>
      <w:b/>
      <w:bCs/>
      <w:sz w:val="24"/>
      <w:szCs w:val="24"/>
    </w:rPr>
  </w:style>
  <w:style w:type="table" w:styleId="1049"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50" w:customStyle="1">
    <w:name w:val="Char"/>
    <w:basedOn w:val="777"/>
    <w:uiPriority w:val="0"/>
    <w:qFormat/>
    <w:pPr>
      <w:tabs>
        <w:tab w:val="left" w:pos="360" w:leader="none"/>
      </w:tabs>
    </w:pPr>
    <w:rPr>
      <w:sz w:val="24"/>
    </w:rPr>
  </w:style>
  <w:style w:type="paragraph" w:styleId="1051" w:customStyle="1">
    <w:name w:val="页眉11"/>
    <w:basedOn w:val="777"/>
    <w:uiPriority w:val="0"/>
    <w:qFormat/>
    <w:pPr>
      <w:jc w:val="center"/>
      <w:tabs>
        <w:tab w:val="center" w:pos="4153" w:leader="none"/>
        <w:tab w:val="right" w:pos="8306" w:leader="none"/>
      </w:tabs>
      <w:pBdr>
        <w:bottom w:val="single" w:color="000000" w:sz="6" w:space="1"/>
      </w:pBdr>
    </w:pPr>
    <w:rPr>
      <w:sz w:val="18"/>
      <w:szCs w:val="18"/>
    </w:rPr>
  </w:style>
  <w:style w:type="table" w:styleId="10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53" w:customStyle="1">
    <w:name w:val="正文首行缩进1"/>
    <w:basedOn w:val="777"/>
    <w:next w:val="871"/>
    <w:uiPriority w:val="99"/>
    <w:qFormat/>
    <w:pPr>
      <w:ind w:firstLine="200"/>
      <w:spacing w:line="360" w:lineRule="auto"/>
    </w:pPr>
    <w:rPr>
      <w:rFonts w:ascii="仿宋" w:eastAsia="仿宋"/>
      <w:sz w:val="30"/>
      <w:szCs w:val="30"/>
    </w:rPr>
  </w:style>
  <w:style w:type="paragraph" w:styleId="1054" w:customStyle="1">
    <w:name w:val="TOC 标题2"/>
    <w:basedOn w:val="778"/>
    <w:next w:val="777"/>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55" w:customStyle="1">
    <w:name w:val="Footer"/>
    <w:basedOn w:val="777"/>
    <w:link w:val="1056"/>
    <w:uiPriority w:val="99"/>
    <w:qFormat/>
    <w:pPr>
      <w:tabs>
        <w:tab w:val="center" w:pos="7143" w:leader="none"/>
        <w:tab w:val="right" w:pos="14287" w:leader="none"/>
      </w:tabs>
    </w:pPr>
  </w:style>
  <w:style w:type="character" w:styleId="1056" w:customStyle="1">
    <w:name w:val="Caption Char"/>
    <w:link w:val="1055"/>
    <w:uiPriority w:val="99"/>
    <w:qFormat/>
  </w:style>
  <w:style w:type="table" w:styleId="105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58" w:customStyle="1">
    <w:name w:val="正文首行缩进 212"/>
    <w:basedOn w:val="832"/>
    <w:next w:val="969"/>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5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6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1"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62" w:customStyle="1">
    <w:name w:val="Quote Char_e5e4ffb8-e2c5-436f-adcb-072f9351b8ac"/>
    <w:uiPriority w:val="29"/>
    <w:qFormat/>
    <w:rPr>
      <w:i/>
    </w:rPr>
  </w:style>
  <w:style w:type="character" w:styleId="1063" w:customStyle="1">
    <w:name w:val="标题 1 Char"/>
    <w:basedOn w:val="781"/>
    <w:link w:val="778"/>
    <w:uiPriority w:val="9"/>
    <w:qFormat/>
    <w:rPr>
      <w:rFonts w:ascii="Times New Roman" w:hAnsi="Times New Roman"/>
      <w:b/>
      <w:bCs/>
      <w:sz w:val="44"/>
      <w:szCs w:val="44"/>
    </w:rPr>
  </w:style>
  <w:style w:type="character" w:styleId="1064" w:customStyle="1">
    <w:name w:val="Header Char_be4f24b2-7f17-4af0-8f33-0590e26a917c"/>
    <w:link w:val="899"/>
    <w:uiPriority w:val="99"/>
    <w:qFormat/>
  </w:style>
  <w:style w:type="table" w:styleId="1065" w:customStyle="1">
    <w:name w:val="普通表格1"/>
    <w:uiPriority w:val="0"/>
    <w:qFormat/>
    <w:tblPr>
      <w:tblCellMar>
        <w:left w:w="0" w:type="dxa"/>
        <w:top w:w="0" w:type="dxa"/>
        <w:right w:w="0" w:type="dxa"/>
        <w:bottom w:w="0" w:type="dxa"/>
      </w:tblCellMar>
    </w:tbl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顾伟伟</cp:lastModifiedBy>
  <cp:revision>7</cp:revision>
  <dcterms:created xsi:type="dcterms:W3CDTF">2025-07-18T16:12:00Z</dcterms:created>
  <dcterms:modified xsi:type="dcterms:W3CDTF">2025-11-19T07:31:11Z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eyJoZGlkIjoiODZkZDhiMGRhNjI0MjMyZGNiZjBmZTUwZmY4Yjk1MjEiLCJ1c2VySWQiOiIxNjcxNDc2OTEwIn0=</vt:lpwstr>
  </property>
  <property fmtid="{D5CDD505-2E9C-101B-9397-08002B2CF9AE}" pid="3" name="KSOProductBuildVer">
    <vt:lpwstr>2052-12.1.0.19770</vt:lpwstr>
  </property>
  <property fmtid="{D5CDD505-2E9C-101B-9397-08002B2CF9AE}" pid="4" name="ICV">
    <vt:lpwstr>9A9FDD53BF9849F897B6DE0F500E6640_13</vt:lpwstr>
  </property>
</Properties>
</file>